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17866" w14:textId="6641E473" w:rsidR="002C1D77" w:rsidRPr="007E0E5B" w:rsidRDefault="0082651B" w:rsidP="00290B55">
      <w:pPr>
        <w:pStyle w:val="Heading110"/>
        <w:shd w:val="clear" w:color="auto" w:fill="auto"/>
        <w:spacing w:after="120" w:line="276" w:lineRule="auto"/>
        <w:rPr>
          <w:rFonts w:ascii="Times New Roman" w:hAnsi="Times New Roman" w:cs="Times New Roman"/>
          <w:color w:val="000000"/>
          <w:sz w:val="32"/>
          <w:szCs w:val="32"/>
        </w:rPr>
      </w:pPr>
      <w:bookmarkStart w:id="0" w:name="bookmark0"/>
      <w:r w:rsidRPr="007E0E5B">
        <w:rPr>
          <w:rFonts w:ascii="Times New Roman" w:hAnsi="Times New Roman" w:cs="Times New Roman"/>
          <w:color w:val="000000"/>
          <w:sz w:val="32"/>
          <w:szCs w:val="32"/>
        </w:rPr>
        <w:t>Climate Action Simulation</w:t>
      </w:r>
      <w:r w:rsidR="00DC05B0" w:rsidRPr="007E0E5B">
        <w:rPr>
          <w:rFonts w:ascii="Times New Roman" w:hAnsi="Times New Roman" w:cs="Times New Roman"/>
          <w:color w:val="000000"/>
          <w:sz w:val="32"/>
          <w:szCs w:val="32"/>
        </w:rPr>
        <w:t>: Industrieländer</w:t>
      </w:r>
      <w:bookmarkEnd w:id="0"/>
    </w:p>
    <w:tbl>
      <w:tblPr>
        <w:tblStyle w:val="Tabellenraster"/>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9C12CB" w14:paraId="2ED25C93" w14:textId="77777777" w:rsidTr="00290B55">
        <w:trPr>
          <w:trHeight w:val="725"/>
        </w:trPr>
        <w:tc>
          <w:tcPr>
            <w:tcW w:w="2660" w:type="dxa"/>
            <w:vMerge w:val="restart"/>
          </w:tcPr>
          <w:p w14:paraId="05E4DA84" w14:textId="77777777" w:rsidR="004D0CFD" w:rsidRPr="009C12CB" w:rsidRDefault="0091067F" w:rsidP="004D0CFD">
            <w:pPr>
              <w:rPr>
                <w:sz w:val="16"/>
                <w:szCs w:val="16"/>
              </w:rPr>
            </w:pPr>
            <w:r w:rsidRPr="009C12CB">
              <w:rPr>
                <w:noProof/>
                <w:sz w:val="16"/>
                <w:szCs w:val="16"/>
                <w:lang w:eastAsia="de-DE"/>
              </w:rPr>
              <w:drawing>
                <wp:anchor distT="0" distB="0" distL="63500" distR="63500" simplePos="0" relativeHeight="377491201" behindDoc="1" locked="0" layoutInCell="1" allowOverlap="1" wp14:anchorId="4FC6D7EB" wp14:editId="1A5628EA">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14:paraId="379FBE5D" w14:textId="77777777" w:rsidR="004D0CFD" w:rsidRPr="009C12CB" w:rsidRDefault="004D0CFD" w:rsidP="00A74BA4">
            <w:pPr>
              <w:spacing w:before="120"/>
              <w:jc w:val="left"/>
              <w:rPr>
                <w:b/>
              </w:rPr>
            </w:pPr>
            <w:r w:rsidRPr="009C12CB">
              <w:rPr>
                <w:b/>
                <w:color w:val="000000"/>
              </w:rPr>
              <w:t xml:space="preserve">An: </w:t>
            </w:r>
          </w:p>
        </w:tc>
        <w:tc>
          <w:tcPr>
            <w:tcW w:w="5953" w:type="dxa"/>
          </w:tcPr>
          <w:p w14:paraId="0656C969" w14:textId="450B370F" w:rsidR="004D0CFD" w:rsidRPr="009C12CB" w:rsidRDefault="004D0CFD" w:rsidP="00A74BA4">
            <w:pPr>
              <w:spacing w:before="120"/>
              <w:jc w:val="left"/>
              <w:rPr>
                <w:b/>
                <w:color w:val="000000"/>
              </w:rPr>
            </w:pPr>
            <w:r w:rsidRPr="009C12CB">
              <w:rPr>
                <w:b/>
                <w:color w:val="000000"/>
              </w:rPr>
              <w:t xml:space="preserve">Die </w:t>
            </w:r>
            <w:r w:rsidR="000C0D80" w:rsidRPr="009C12CB">
              <w:rPr>
                <w:b/>
                <w:color w:val="000000"/>
              </w:rPr>
              <w:t>Chefunterhändler</w:t>
            </w:r>
            <w:r w:rsidR="00B02106">
              <w:rPr>
                <w:b/>
                <w:color w:val="000000"/>
              </w:rPr>
              <w:t>innen und Chefunterhändler</w:t>
            </w:r>
            <w:r w:rsidR="000C0D80" w:rsidRPr="009C12CB">
              <w:rPr>
                <w:b/>
                <w:color w:val="000000"/>
              </w:rPr>
              <w:t xml:space="preserve"> </w:t>
            </w:r>
            <w:r w:rsidRPr="009C12CB">
              <w:rPr>
                <w:b/>
                <w:color w:val="000000"/>
              </w:rPr>
              <w:t>der Industrieländer</w:t>
            </w:r>
          </w:p>
          <w:p w14:paraId="4A796988" w14:textId="49714D2C" w:rsidR="004D0CFD" w:rsidRPr="009C12CB" w:rsidRDefault="004D0CFD" w:rsidP="00A74BA4">
            <w:pPr>
              <w:jc w:val="left"/>
            </w:pPr>
            <w:r w:rsidRPr="009C12CB">
              <w:rPr>
                <w:color w:val="000000"/>
              </w:rPr>
              <w:t xml:space="preserve">(USA, Kanada, Europäische Union, </w:t>
            </w:r>
            <w:r w:rsidR="0082651B" w:rsidRPr="009C12CB">
              <w:rPr>
                <w:color w:val="000000"/>
              </w:rPr>
              <w:t xml:space="preserve">Vereinigtes Königreich, </w:t>
            </w:r>
            <w:r w:rsidRPr="009C12CB">
              <w:rPr>
                <w:color w:val="000000"/>
              </w:rPr>
              <w:t>Japan, Russland und andere ehemalige Sowjetrepubliken, Südkorea, Australien, Neuseeland)</w:t>
            </w:r>
          </w:p>
        </w:tc>
      </w:tr>
      <w:tr w:rsidR="004D0CFD" w:rsidRPr="009C12CB" w14:paraId="4965020D" w14:textId="77777777" w:rsidTr="00290B55">
        <w:trPr>
          <w:trHeight w:val="725"/>
        </w:trPr>
        <w:tc>
          <w:tcPr>
            <w:tcW w:w="2660" w:type="dxa"/>
            <w:vMerge/>
          </w:tcPr>
          <w:p w14:paraId="573648E5" w14:textId="77777777" w:rsidR="004D0CFD" w:rsidRPr="009C12CB" w:rsidRDefault="004D0CFD" w:rsidP="004D0CFD">
            <w:pPr>
              <w:rPr>
                <w:lang w:bidi="en-US"/>
              </w:rPr>
            </w:pPr>
          </w:p>
        </w:tc>
        <w:tc>
          <w:tcPr>
            <w:tcW w:w="1134" w:type="dxa"/>
          </w:tcPr>
          <w:p w14:paraId="58975CB2" w14:textId="77777777" w:rsidR="004D0CFD" w:rsidRPr="009C12CB" w:rsidRDefault="004D0CFD" w:rsidP="00A74BA4">
            <w:pPr>
              <w:spacing w:before="120"/>
              <w:jc w:val="left"/>
              <w:rPr>
                <w:b/>
                <w:color w:val="000000"/>
              </w:rPr>
            </w:pPr>
            <w:r w:rsidRPr="009C12CB">
              <w:rPr>
                <w:b/>
                <w:color w:val="000000"/>
              </w:rPr>
              <w:t>Betrifft:</w:t>
            </w:r>
          </w:p>
        </w:tc>
        <w:tc>
          <w:tcPr>
            <w:tcW w:w="5953" w:type="dxa"/>
          </w:tcPr>
          <w:p w14:paraId="41CBFAE5" w14:textId="77777777" w:rsidR="004D0CFD" w:rsidRPr="009C12CB" w:rsidRDefault="004D0CFD" w:rsidP="00A74BA4">
            <w:pPr>
              <w:spacing w:before="120"/>
              <w:jc w:val="left"/>
              <w:rPr>
                <w:b/>
                <w:color w:val="000000"/>
              </w:rPr>
            </w:pPr>
            <w:r w:rsidRPr="009C12CB">
              <w:rPr>
                <w:b/>
                <w:color w:val="000000"/>
              </w:rPr>
              <w:t>Vorbereitung des Klimagipfels</w:t>
            </w:r>
          </w:p>
        </w:tc>
      </w:tr>
    </w:tbl>
    <w:p w14:paraId="5253D6D4" w14:textId="1C640D58" w:rsidR="002C1D77" w:rsidRPr="007E0E5B" w:rsidRDefault="00DC05B0" w:rsidP="002B0434">
      <w:pPr>
        <w:spacing w:after="120"/>
        <w:jc w:val="left"/>
        <w:rPr>
          <w:sz w:val="19"/>
          <w:szCs w:val="19"/>
        </w:rPr>
      </w:pPr>
      <w:r w:rsidRPr="007E0E5B">
        <w:rPr>
          <w:sz w:val="19"/>
          <w:szCs w:val="19"/>
        </w:rPr>
        <w:t xml:space="preserve">Willkommen zum Klimagipfel! Sie </w:t>
      </w:r>
      <w:r w:rsidR="0082651B" w:rsidRPr="007E0E5B">
        <w:rPr>
          <w:sz w:val="19"/>
          <w:szCs w:val="19"/>
        </w:rPr>
        <w:t xml:space="preserve">kommen </w:t>
      </w:r>
      <w:r w:rsidRPr="007E0E5B">
        <w:rPr>
          <w:sz w:val="19"/>
          <w:szCs w:val="19"/>
        </w:rPr>
        <w:t xml:space="preserve">hier auf Einladung </w:t>
      </w:r>
      <w:r w:rsidR="0082651B" w:rsidRPr="007E0E5B">
        <w:rPr>
          <w:sz w:val="19"/>
          <w:szCs w:val="19"/>
        </w:rPr>
        <w:t xml:space="preserve">der Generalsekretärin / </w:t>
      </w:r>
      <w:r w:rsidRPr="007E0E5B">
        <w:rPr>
          <w:sz w:val="19"/>
          <w:szCs w:val="19"/>
        </w:rPr>
        <w:t xml:space="preserve">des Generalsekretärs der Vereinten Nationen mit anderen führenden Mitgliedern der einschlägigen Interessengruppen zusammen, um gemeinsam Lösungen für </w:t>
      </w:r>
      <w:r w:rsidR="0082651B" w:rsidRPr="007E0E5B">
        <w:rPr>
          <w:sz w:val="19"/>
          <w:szCs w:val="19"/>
        </w:rPr>
        <w:t>den Kampf</w:t>
      </w:r>
      <w:r w:rsidRPr="007E0E5B">
        <w:rPr>
          <w:sz w:val="19"/>
          <w:szCs w:val="19"/>
        </w:rPr>
        <w:t xml:space="preserve"> </w:t>
      </w:r>
      <w:r w:rsidR="0082651B" w:rsidRPr="007E0E5B">
        <w:rPr>
          <w:sz w:val="19"/>
          <w:szCs w:val="19"/>
        </w:rPr>
        <w:t xml:space="preserve">gegen den </w:t>
      </w:r>
      <w:r w:rsidRPr="007E0E5B">
        <w:rPr>
          <w:sz w:val="19"/>
          <w:szCs w:val="19"/>
        </w:rPr>
        <w:t xml:space="preserve">Klimawandel zu erarbeiten. In </w:t>
      </w:r>
      <w:r w:rsidR="0082651B" w:rsidRPr="007E0E5B">
        <w:rPr>
          <w:sz w:val="19"/>
          <w:szCs w:val="19"/>
        </w:rPr>
        <w:t xml:space="preserve">ihrer / </w:t>
      </w:r>
      <w:r w:rsidRPr="007E0E5B">
        <w:rPr>
          <w:sz w:val="19"/>
          <w:szCs w:val="19"/>
        </w:rPr>
        <w:t xml:space="preserve">seiner Einladung hat </w:t>
      </w:r>
      <w:r w:rsidR="0082651B" w:rsidRPr="007E0E5B">
        <w:rPr>
          <w:sz w:val="19"/>
          <w:szCs w:val="19"/>
        </w:rPr>
        <w:t xml:space="preserve">die Generalsekretärin / </w:t>
      </w:r>
      <w:r w:rsidRPr="007E0E5B">
        <w:rPr>
          <w:sz w:val="19"/>
          <w:szCs w:val="19"/>
        </w:rPr>
        <w:t xml:space="preserve">der Generalsekretär </w:t>
      </w:r>
      <w:r w:rsidR="007E22AF" w:rsidRPr="007E0E5B">
        <w:rPr>
          <w:sz w:val="19"/>
          <w:szCs w:val="19"/>
        </w:rPr>
        <w:t>dar</w:t>
      </w:r>
      <w:r w:rsidR="00E96704" w:rsidRPr="007E0E5B">
        <w:rPr>
          <w:sz w:val="19"/>
          <w:szCs w:val="19"/>
        </w:rPr>
        <w:t>an erinnert</w:t>
      </w:r>
      <w:r w:rsidRPr="007E0E5B">
        <w:rPr>
          <w:sz w:val="19"/>
          <w:szCs w:val="19"/>
        </w:rPr>
        <w:t xml:space="preserve">, „dass der Klimanotstand unaufhaltsam näher rückt. Wir können den Wettlauf gegen den Klimawandel </w:t>
      </w:r>
      <w:r w:rsidR="0082651B" w:rsidRPr="007E0E5B">
        <w:rPr>
          <w:sz w:val="19"/>
          <w:szCs w:val="19"/>
        </w:rPr>
        <w:t xml:space="preserve">aber </w:t>
      </w:r>
      <w:r w:rsidRPr="007E0E5B">
        <w:rPr>
          <w:sz w:val="19"/>
          <w:szCs w:val="19"/>
        </w:rPr>
        <w:t xml:space="preserve">noch gewinnen. (...) </w:t>
      </w:r>
      <w:r w:rsidR="00E96704" w:rsidRPr="007E0E5B">
        <w:rPr>
          <w:sz w:val="19"/>
          <w:szCs w:val="19"/>
        </w:rPr>
        <w:t>Führende Wissenschaftlerinnen und Wisse</w:t>
      </w:r>
      <w:bookmarkStart w:id="1" w:name="_GoBack"/>
      <w:bookmarkEnd w:id="1"/>
      <w:r w:rsidR="00E96704" w:rsidRPr="007E0E5B">
        <w:rPr>
          <w:sz w:val="19"/>
          <w:szCs w:val="19"/>
        </w:rPr>
        <w:t>nschaftler warnen,</w:t>
      </w:r>
      <w:r w:rsidRPr="007E0E5B">
        <w:rPr>
          <w:sz w:val="19"/>
          <w:szCs w:val="19"/>
        </w:rPr>
        <w:t xml:space="preserve"> ein Temperaturanstieg von mehr als 1,5 °C </w:t>
      </w:r>
      <w:r w:rsidR="00E96704" w:rsidRPr="007E0E5B">
        <w:rPr>
          <w:sz w:val="19"/>
          <w:szCs w:val="19"/>
        </w:rPr>
        <w:t xml:space="preserve">werde </w:t>
      </w:r>
      <w:r w:rsidRPr="007E0E5B">
        <w:rPr>
          <w:sz w:val="19"/>
          <w:szCs w:val="19"/>
        </w:rPr>
        <w:t xml:space="preserve">die Ökosysteme, die unsere Lebensgrundlage bilden, massiv und irreparabel beschädigen (...) </w:t>
      </w:r>
      <w:r w:rsidR="00E96704" w:rsidRPr="007E0E5B">
        <w:rPr>
          <w:sz w:val="19"/>
          <w:szCs w:val="19"/>
        </w:rPr>
        <w:t>Sie machen</w:t>
      </w:r>
      <w:r w:rsidR="0082651B" w:rsidRPr="007E0E5B">
        <w:rPr>
          <w:sz w:val="19"/>
          <w:szCs w:val="19"/>
        </w:rPr>
        <w:t xml:space="preserve"> uns jedoch </w:t>
      </w:r>
      <w:r w:rsidRPr="007E0E5B">
        <w:rPr>
          <w:sz w:val="19"/>
          <w:szCs w:val="19"/>
        </w:rPr>
        <w:t>auch</w:t>
      </w:r>
      <w:r w:rsidR="0082651B" w:rsidRPr="007E0E5B">
        <w:rPr>
          <w:sz w:val="19"/>
          <w:szCs w:val="19"/>
        </w:rPr>
        <w:t xml:space="preserve"> deutlich</w:t>
      </w:r>
      <w:r w:rsidRPr="007E0E5B">
        <w:rPr>
          <w:sz w:val="19"/>
          <w:szCs w:val="19"/>
        </w:rPr>
        <w:t xml:space="preserve">, dass es noch nicht zu spät ist. Wir können es noch schaffen (...) Doch dazu ist ein tiefgreifender gesamtgesellschaftlicher Wandel erforderlich. Wir müssen die Art und Weise verändern, wie wir Nahrungsmittel erzeugen, das Land nutzen, unsere Verkehrsmittel antreiben und unsere Wirtschaft mit Strom versorgen (...) Wenn wir gemeinsam handeln, </w:t>
      </w:r>
      <w:r w:rsidR="0082651B" w:rsidRPr="007E0E5B">
        <w:rPr>
          <w:sz w:val="19"/>
          <w:szCs w:val="19"/>
        </w:rPr>
        <w:t xml:space="preserve">lassen </w:t>
      </w:r>
      <w:r w:rsidRPr="007E0E5B">
        <w:rPr>
          <w:sz w:val="19"/>
          <w:szCs w:val="19"/>
        </w:rPr>
        <w:t>werden wir niemanden zurück.“</w:t>
      </w:r>
    </w:p>
    <w:p w14:paraId="75656A57" w14:textId="3E6EBD4B" w:rsidR="002C1D77" w:rsidRPr="007E0E5B" w:rsidRDefault="00DC05B0" w:rsidP="002B0434">
      <w:pPr>
        <w:spacing w:after="120" w:line="276" w:lineRule="auto"/>
        <w:jc w:val="left"/>
        <w:rPr>
          <w:sz w:val="19"/>
          <w:szCs w:val="19"/>
        </w:rPr>
      </w:pPr>
      <w:r w:rsidRPr="007E0E5B">
        <w:rPr>
          <w:color w:val="000000"/>
          <w:sz w:val="19"/>
          <w:szCs w:val="19"/>
        </w:rPr>
        <w:t xml:space="preserve">Ihr Ziel auf diesem Gipfel ist es, einen Plan aufzustellen, um die Erderwärmung auf unter 2 °C gegenüber dem vorindustriellen Niveau zu halten und </w:t>
      </w:r>
      <w:r w:rsidR="0082651B" w:rsidRPr="007E0E5B">
        <w:rPr>
          <w:color w:val="000000"/>
          <w:sz w:val="19"/>
          <w:szCs w:val="19"/>
        </w:rPr>
        <w:t>möglichst</w:t>
      </w:r>
      <w:r w:rsidRPr="007E0E5B">
        <w:rPr>
          <w:color w:val="000000"/>
          <w:sz w:val="19"/>
          <w:szCs w:val="19"/>
        </w:rPr>
        <w:t xml:space="preserve"> auf 1,5 °C zu begrenzen. Darauf haben sich die Unterzeichner des Klimaschutzübereinkommens von Paris geeinigt. </w:t>
      </w:r>
      <w:r w:rsidRPr="007E0E5B">
        <w:rPr>
          <w:sz w:val="19"/>
          <w:szCs w:val="19"/>
        </w:rPr>
        <w:t xml:space="preserve">Die </w:t>
      </w:r>
      <w:r w:rsidRPr="007E0E5B">
        <w:rPr>
          <w:sz w:val="19"/>
          <w:szCs w:val="19"/>
          <w:u w:val="single"/>
        </w:rPr>
        <w:t>wissenschaftlichen Erkenntnisse</w:t>
      </w:r>
      <w:r w:rsidRPr="007E0E5B">
        <w:rPr>
          <w:sz w:val="19"/>
          <w:szCs w:val="19"/>
        </w:rPr>
        <w:t xml:space="preserve"> sind eindeutig: Ein Anstieg der globalen Erwärmung über diese Grenze hinaus hätte katastrophale und unumkehrbare Auswirkungen, die die Gesundheit, den Wohlstand und die Existenz aller Menschen in allen Ländern bedrohen.</w:t>
      </w:r>
    </w:p>
    <w:p w14:paraId="4EAD77F4" w14:textId="4F6E6A6D" w:rsidR="002C1D77" w:rsidRPr="007E0E5B" w:rsidRDefault="00DC05B0" w:rsidP="002B0434">
      <w:pPr>
        <w:spacing w:after="120" w:line="276" w:lineRule="auto"/>
        <w:jc w:val="left"/>
        <w:rPr>
          <w:sz w:val="19"/>
          <w:szCs w:val="19"/>
        </w:rPr>
      </w:pPr>
      <w:r w:rsidRPr="007E0E5B">
        <w:rPr>
          <w:color w:val="000000"/>
          <w:sz w:val="19"/>
          <w:szCs w:val="19"/>
        </w:rPr>
        <w:t>Ihre Gruppe vertritt die (oben aufgeführten) Industrieländer. Die Gesamtbevölkerung Ihrer Länder entspricht rund 17 % der Weltbevölkerung. Ihre Länder generieren zusammen jedoch 60 % der globalen Wirtschaftsleistung und weisen das weltweit höchste Pro-Kopf-BIP (Bruttoinlandsprodukt) auf.</w:t>
      </w:r>
    </w:p>
    <w:p w14:paraId="6FDF984A" w14:textId="77777777" w:rsidR="002C1D77" w:rsidRPr="007E0E5B" w:rsidRDefault="00DC05B0" w:rsidP="002B0434">
      <w:pPr>
        <w:spacing w:after="120" w:line="276" w:lineRule="auto"/>
        <w:jc w:val="left"/>
        <w:rPr>
          <w:sz w:val="19"/>
          <w:szCs w:val="19"/>
        </w:rPr>
      </w:pPr>
      <w:r w:rsidRPr="007E0E5B">
        <w:rPr>
          <w:color w:val="000000"/>
          <w:sz w:val="19"/>
          <w:szCs w:val="19"/>
        </w:rPr>
        <w:t>Ihre politischen Prioritäten werden nachfolgend erläutert. Sie können jede gangbare politische Lösung vorschlagen, aber auch Maßnahmen blockieren.</w:t>
      </w:r>
    </w:p>
    <w:p w14:paraId="6FE2481D" w14:textId="25DA8275" w:rsidR="002C1D77" w:rsidRPr="007E0E5B" w:rsidRDefault="00F91705" w:rsidP="002B0434">
      <w:pPr>
        <w:numPr>
          <w:ilvl w:val="0"/>
          <w:numId w:val="1"/>
        </w:numPr>
        <w:spacing w:after="120" w:line="276" w:lineRule="auto"/>
        <w:ind w:left="403" w:hanging="403"/>
        <w:jc w:val="left"/>
        <w:rPr>
          <w:sz w:val="19"/>
          <w:szCs w:val="19"/>
        </w:rPr>
      </w:pPr>
      <w:r w:rsidRPr="007E0E5B">
        <w:rPr>
          <w:b/>
          <w:color w:val="000000"/>
          <w:sz w:val="19"/>
          <w:szCs w:val="19"/>
        </w:rPr>
        <w:t xml:space="preserve">Subventionen </w:t>
      </w:r>
      <w:r w:rsidR="00DC05B0" w:rsidRPr="007E0E5B">
        <w:rPr>
          <w:b/>
          <w:color w:val="000000"/>
          <w:sz w:val="19"/>
          <w:szCs w:val="19"/>
        </w:rPr>
        <w:t xml:space="preserve">für erneuerbare Energieträger (z. B. für </w:t>
      </w:r>
      <w:r w:rsidRPr="007E0E5B">
        <w:rPr>
          <w:b/>
          <w:color w:val="000000"/>
          <w:sz w:val="19"/>
          <w:szCs w:val="19"/>
        </w:rPr>
        <w:t>Solarenergie</w:t>
      </w:r>
      <w:r w:rsidR="00DC05B0" w:rsidRPr="007E0E5B">
        <w:rPr>
          <w:b/>
          <w:color w:val="000000"/>
          <w:sz w:val="19"/>
          <w:szCs w:val="19"/>
        </w:rPr>
        <w:t xml:space="preserve">, Windkraft, </w:t>
      </w:r>
      <w:r w:rsidRPr="007E0E5B">
        <w:rPr>
          <w:b/>
          <w:color w:val="000000"/>
          <w:sz w:val="19"/>
          <w:szCs w:val="19"/>
        </w:rPr>
        <w:t>Geothermie</w:t>
      </w:r>
      <w:r w:rsidR="00DC05B0" w:rsidRPr="007E0E5B">
        <w:rPr>
          <w:b/>
          <w:color w:val="000000"/>
          <w:sz w:val="19"/>
          <w:szCs w:val="19"/>
        </w:rPr>
        <w:t>, Wasserkraft und für Energiespeicher):</w:t>
      </w:r>
      <w:r w:rsidR="00DC05B0" w:rsidRPr="007E0E5B">
        <w:rPr>
          <w:color w:val="000000"/>
          <w:sz w:val="19"/>
          <w:szCs w:val="19"/>
        </w:rPr>
        <w:t xml:space="preserve"> </w:t>
      </w:r>
      <w:r w:rsidR="00DC05B0" w:rsidRPr="007E0E5B">
        <w:rPr>
          <w:sz w:val="19"/>
          <w:szCs w:val="19"/>
        </w:rPr>
        <w:t xml:space="preserve">Die Branche der </w:t>
      </w:r>
      <w:r w:rsidRPr="007E0E5B">
        <w:rPr>
          <w:sz w:val="19"/>
          <w:szCs w:val="19"/>
        </w:rPr>
        <w:t xml:space="preserve">Erneuerbaren </w:t>
      </w:r>
      <w:r w:rsidR="00DC05B0" w:rsidRPr="007E0E5B">
        <w:rPr>
          <w:sz w:val="19"/>
          <w:szCs w:val="19"/>
        </w:rPr>
        <w:t xml:space="preserve">Energien wächst </w:t>
      </w:r>
      <w:r w:rsidRPr="007E0E5B">
        <w:rPr>
          <w:sz w:val="19"/>
          <w:szCs w:val="19"/>
        </w:rPr>
        <w:t xml:space="preserve">zwar </w:t>
      </w:r>
      <w:r w:rsidR="00DC05B0" w:rsidRPr="007E0E5B">
        <w:rPr>
          <w:sz w:val="19"/>
          <w:szCs w:val="19"/>
        </w:rPr>
        <w:t xml:space="preserve">rasch, </w:t>
      </w:r>
      <w:r w:rsidRPr="007E0E5B">
        <w:rPr>
          <w:sz w:val="19"/>
          <w:szCs w:val="19"/>
        </w:rPr>
        <w:t>ihr Anteil an der</w:t>
      </w:r>
      <w:r w:rsidR="00DC05B0" w:rsidRPr="007E0E5B">
        <w:rPr>
          <w:sz w:val="19"/>
          <w:szCs w:val="19"/>
        </w:rPr>
        <w:t xml:space="preserve"> globalen Energieversorgung </w:t>
      </w:r>
      <w:r w:rsidRPr="007E0E5B">
        <w:rPr>
          <w:sz w:val="19"/>
          <w:szCs w:val="19"/>
        </w:rPr>
        <w:t>ist jedoch immer noch gering</w:t>
      </w:r>
      <w:r w:rsidR="00DC05B0" w:rsidRPr="007E0E5B">
        <w:rPr>
          <w:sz w:val="19"/>
          <w:szCs w:val="19"/>
        </w:rPr>
        <w:t xml:space="preserve">. </w:t>
      </w:r>
      <w:r w:rsidRPr="007E0E5B">
        <w:rPr>
          <w:sz w:val="19"/>
          <w:szCs w:val="19"/>
        </w:rPr>
        <w:t xml:space="preserve">Subventionen begünstigen das Wachstum dieser </w:t>
      </w:r>
      <w:r w:rsidR="00DC05B0" w:rsidRPr="007E0E5B">
        <w:rPr>
          <w:sz w:val="19"/>
          <w:szCs w:val="19"/>
        </w:rPr>
        <w:t xml:space="preserve">Branche und </w:t>
      </w:r>
      <w:r w:rsidRPr="007E0E5B">
        <w:rPr>
          <w:sz w:val="19"/>
          <w:szCs w:val="19"/>
        </w:rPr>
        <w:t xml:space="preserve">schaffen Arbeitsplätze </w:t>
      </w:r>
      <w:r w:rsidR="00DC05B0" w:rsidRPr="007E0E5B">
        <w:rPr>
          <w:sz w:val="19"/>
          <w:szCs w:val="19"/>
        </w:rPr>
        <w:t>in Ihren Ländern (</w:t>
      </w:r>
      <w:r w:rsidRPr="007E0E5B">
        <w:rPr>
          <w:sz w:val="19"/>
          <w:szCs w:val="19"/>
        </w:rPr>
        <w:t xml:space="preserve">insbesondere dann, wenn </w:t>
      </w:r>
      <w:r w:rsidR="00DC05B0" w:rsidRPr="007E0E5B">
        <w:rPr>
          <w:sz w:val="19"/>
          <w:szCs w:val="19"/>
        </w:rPr>
        <w:t>Ihre Länder China und andere Entwicklungsländer im Bereich Wind</w:t>
      </w:r>
      <w:r w:rsidRPr="007E0E5B">
        <w:rPr>
          <w:sz w:val="19"/>
          <w:szCs w:val="19"/>
        </w:rPr>
        <w:t xml:space="preserve">kraft-, </w:t>
      </w:r>
      <w:r w:rsidR="00DC05B0" w:rsidRPr="007E0E5B">
        <w:rPr>
          <w:sz w:val="19"/>
          <w:szCs w:val="19"/>
        </w:rPr>
        <w:t>Solar</w:t>
      </w:r>
      <w:r w:rsidRPr="007E0E5B">
        <w:rPr>
          <w:sz w:val="19"/>
          <w:szCs w:val="19"/>
        </w:rPr>
        <w:t>energie</w:t>
      </w:r>
      <w:r w:rsidR="00DC05B0" w:rsidRPr="007E0E5B">
        <w:rPr>
          <w:sz w:val="19"/>
          <w:szCs w:val="19"/>
        </w:rPr>
        <w:t>- und Batterietechnik überholen). Durch Speichertechnologien (Batterien, Wärmespeicher, Pumpspeicheranlagen) und intelligente Netztechnologien können fluktuierende erneuerbare Energieträger wie Wind</w:t>
      </w:r>
      <w:r w:rsidRPr="007E0E5B">
        <w:rPr>
          <w:sz w:val="19"/>
          <w:szCs w:val="19"/>
        </w:rPr>
        <w:t>kraft</w:t>
      </w:r>
      <w:r w:rsidR="00DC05B0" w:rsidRPr="007E0E5B">
        <w:rPr>
          <w:sz w:val="19"/>
          <w:szCs w:val="19"/>
        </w:rPr>
        <w:t xml:space="preserve"> und </w:t>
      </w:r>
      <w:r w:rsidRPr="007E0E5B">
        <w:rPr>
          <w:sz w:val="19"/>
          <w:szCs w:val="19"/>
        </w:rPr>
        <w:t xml:space="preserve">Solarenergie </w:t>
      </w:r>
      <w:r w:rsidR="00DC05B0" w:rsidRPr="007E0E5B">
        <w:rPr>
          <w:sz w:val="19"/>
          <w:szCs w:val="19"/>
        </w:rPr>
        <w:t>in das Energiesystem integriert werden und rund um die Uhr Strom liefern.</w:t>
      </w:r>
    </w:p>
    <w:p w14:paraId="56F57CD7" w14:textId="178166D0" w:rsidR="002C1D77" w:rsidRPr="007E0E5B" w:rsidRDefault="00DC05B0" w:rsidP="002B0434">
      <w:pPr>
        <w:numPr>
          <w:ilvl w:val="0"/>
          <w:numId w:val="1"/>
        </w:numPr>
        <w:spacing w:after="120" w:line="276" w:lineRule="auto"/>
        <w:ind w:left="403" w:hanging="403"/>
        <w:jc w:val="left"/>
        <w:rPr>
          <w:b/>
          <w:sz w:val="19"/>
          <w:szCs w:val="19"/>
        </w:rPr>
      </w:pPr>
      <w:r w:rsidRPr="007E0E5B">
        <w:rPr>
          <w:rStyle w:val="Bodytext2Bold"/>
          <w:sz w:val="19"/>
          <w:szCs w:val="19"/>
        </w:rPr>
        <w:t>Eindämmung der Entwaldung:</w:t>
      </w:r>
      <w:r w:rsidRPr="007E0E5B">
        <w:rPr>
          <w:sz w:val="19"/>
          <w:szCs w:val="19"/>
        </w:rPr>
        <w:t xml:space="preserve"> </w:t>
      </w:r>
      <w:r w:rsidR="00E96704" w:rsidRPr="007E0E5B">
        <w:rPr>
          <w:sz w:val="19"/>
          <w:szCs w:val="19"/>
        </w:rPr>
        <w:t xml:space="preserve">Entwaldung verursacht derzeit rund 15 % der Treibhausgasemissionen. </w:t>
      </w:r>
      <w:r w:rsidRPr="007E0E5B">
        <w:rPr>
          <w:color w:val="000000"/>
          <w:sz w:val="19"/>
          <w:szCs w:val="19"/>
        </w:rPr>
        <w:t xml:space="preserve">Ein Großteil </w:t>
      </w:r>
      <w:r w:rsidR="00F91705" w:rsidRPr="007E0E5B">
        <w:rPr>
          <w:color w:val="000000"/>
          <w:sz w:val="19"/>
          <w:szCs w:val="19"/>
        </w:rPr>
        <w:t>der weltweiten Entwaldung</w:t>
      </w:r>
      <w:r w:rsidRPr="007E0E5B">
        <w:rPr>
          <w:color w:val="000000"/>
          <w:sz w:val="19"/>
          <w:szCs w:val="19"/>
        </w:rPr>
        <w:t xml:space="preserve"> </w:t>
      </w:r>
      <w:r w:rsidR="00F91705" w:rsidRPr="007E0E5B">
        <w:rPr>
          <w:color w:val="000000"/>
          <w:sz w:val="19"/>
          <w:szCs w:val="19"/>
        </w:rPr>
        <w:t xml:space="preserve">findet </w:t>
      </w:r>
      <w:r w:rsidRPr="007E0E5B">
        <w:rPr>
          <w:color w:val="000000"/>
          <w:sz w:val="19"/>
          <w:szCs w:val="19"/>
        </w:rPr>
        <w:t xml:space="preserve">in den Tropenwäldern der Entwicklungsländer </w:t>
      </w:r>
      <w:r w:rsidR="00F91705" w:rsidRPr="007E0E5B">
        <w:rPr>
          <w:color w:val="000000"/>
          <w:sz w:val="19"/>
          <w:szCs w:val="19"/>
        </w:rPr>
        <w:t>statt</w:t>
      </w:r>
      <w:r w:rsidRPr="007E0E5B">
        <w:rPr>
          <w:color w:val="000000"/>
          <w:sz w:val="19"/>
          <w:szCs w:val="19"/>
        </w:rPr>
        <w:t xml:space="preserve">, u. a. im Amazonasbecken, in Afrika und in Süd-/Südostasien. Durch den Schutz der Wälder können diese Emissionen </w:t>
      </w:r>
      <w:r w:rsidR="00F91705" w:rsidRPr="007E0E5B">
        <w:rPr>
          <w:color w:val="000000"/>
          <w:sz w:val="19"/>
          <w:szCs w:val="19"/>
        </w:rPr>
        <w:t>reduziert</w:t>
      </w:r>
      <w:r w:rsidRPr="007E0E5B">
        <w:rPr>
          <w:color w:val="000000"/>
          <w:sz w:val="19"/>
          <w:szCs w:val="19"/>
        </w:rPr>
        <w:t>, die biologische Vielfalt erhalten und die Wasserressourcen geschützt werden.</w:t>
      </w:r>
    </w:p>
    <w:p w14:paraId="22C32B22" w14:textId="268832E8" w:rsidR="002C1D77" w:rsidRPr="007E0E5B" w:rsidRDefault="00F91705" w:rsidP="002B0434">
      <w:pPr>
        <w:keepNext/>
        <w:keepLines/>
        <w:numPr>
          <w:ilvl w:val="0"/>
          <w:numId w:val="1"/>
        </w:numPr>
        <w:spacing w:after="120" w:line="276" w:lineRule="auto"/>
        <w:ind w:left="403" w:hanging="403"/>
        <w:jc w:val="left"/>
        <w:rPr>
          <w:b/>
          <w:sz w:val="19"/>
          <w:szCs w:val="19"/>
        </w:rPr>
      </w:pPr>
      <w:r w:rsidRPr="007E0E5B">
        <w:rPr>
          <w:rStyle w:val="Bodytext2Bold"/>
          <w:sz w:val="19"/>
          <w:szCs w:val="19"/>
        </w:rPr>
        <w:t xml:space="preserve">Erwägung </w:t>
      </w:r>
      <w:r w:rsidR="00DC05B0" w:rsidRPr="007E0E5B">
        <w:rPr>
          <w:rStyle w:val="Bodytext2Bold"/>
          <w:sz w:val="19"/>
          <w:szCs w:val="19"/>
        </w:rPr>
        <w:t xml:space="preserve">von Aufforstungsmaßnahmen: </w:t>
      </w:r>
      <w:r w:rsidR="00DC05B0" w:rsidRPr="007E0E5B">
        <w:rPr>
          <w:color w:val="000000"/>
          <w:sz w:val="19"/>
          <w:szCs w:val="19"/>
        </w:rPr>
        <w:t xml:space="preserve">Aufforstung ist das Anpflanzen neuer Wälder auf baumlosen, teilweise zuvor abgeholzten oder geschädigten Flächen. </w:t>
      </w:r>
      <w:r w:rsidR="00DC05B0" w:rsidRPr="007E0E5B">
        <w:rPr>
          <w:sz w:val="19"/>
          <w:szCs w:val="19"/>
        </w:rPr>
        <w:t>Wälder nehmen CO</w:t>
      </w:r>
      <w:r w:rsidR="00DC05B0" w:rsidRPr="007E0E5B">
        <w:rPr>
          <w:sz w:val="19"/>
          <w:szCs w:val="19"/>
          <w:vertAlign w:val="subscript"/>
        </w:rPr>
        <w:t>2</w:t>
      </w:r>
      <w:r w:rsidR="00DC05B0" w:rsidRPr="007E0E5B">
        <w:rPr>
          <w:sz w:val="19"/>
          <w:szCs w:val="19"/>
        </w:rPr>
        <w:t xml:space="preserve"> aus der Atmosphäre auf und speichern es in Biomasse und Böden.</w:t>
      </w:r>
      <w:r w:rsidR="00DC05B0" w:rsidRPr="007E0E5B">
        <w:rPr>
          <w:color w:val="000000"/>
          <w:sz w:val="19"/>
          <w:szCs w:val="19"/>
        </w:rPr>
        <w:t xml:space="preserve"> Eine weiträumige Aufforstung könnte sich auf Flächen erstrecken, die als Acker- oder Weideland benötigt werden, was die Nahrungsmittelpreise nach oben treiben würde. Achten Sie auf den Flächenbedarf der Aufforstungsmaßnahmen, die Ihre Gruppe und andere </w:t>
      </w:r>
      <w:r w:rsidR="00AC5A77" w:rsidRPr="007E0E5B">
        <w:rPr>
          <w:color w:val="000000"/>
          <w:sz w:val="19"/>
          <w:szCs w:val="19"/>
        </w:rPr>
        <w:t xml:space="preserve">Delegationen </w:t>
      </w:r>
      <w:r w:rsidR="00DC05B0" w:rsidRPr="007E0E5B">
        <w:rPr>
          <w:color w:val="000000"/>
          <w:sz w:val="19"/>
          <w:szCs w:val="19"/>
        </w:rPr>
        <w:t>vorschlagen.</w:t>
      </w:r>
    </w:p>
    <w:p w14:paraId="345A87D3" w14:textId="72FB21CF" w:rsidR="002C1D77" w:rsidRPr="007E0E5B" w:rsidRDefault="00DC05B0" w:rsidP="002B0434">
      <w:pPr>
        <w:numPr>
          <w:ilvl w:val="0"/>
          <w:numId w:val="1"/>
        </w:numPr>
        <w:spacing w:after="120" w:line="276" w:lineRule="auto"/>
        <w:ind w:left="400" w:hanging="400"/>
        <w:jc w:val="left"/>
        <w:rPr>
          <w:sz w:val="19"/>
          <w:szCs w:val="19"/>
        </w:rPr>
      </w:pPr>
      <w:r w:rsidRPr="007E0E5B">
        <w:rPr>
          <w:b/>
          <w:color w:val="000000"/>
          <w:sz w:val="19"/>
          <w:szCs w:val="19"/>
        </w:rPr>
        <w:t xml:space="preserve">Verringerung der Emissionen von Methan, </w:t>
      </w:r>
      <w:r w:rsidR="004B1B6E" w:rsidRPr="007E0E5B">
        <w:rPr>
          <w:b/>
          <w:color w:val="000000"/>
          <w:sz w:val="19"/>
          <w:szCs w:val="19"/>
        </w:rPr>
        <w:t xml:space="preserve">Lachgas </w:t>
      </w:r>
      <w:r w:rsidRPr="007E0E5B">
        <w:rPr>
          <w:b/>
          <w:color w:val="000000"/>
          <w:sz w:val="19"/>
          <w:szCs w:val="19"/>
        </w:rPr>
        <w:t>und anderen Treibhausgasen:</w:t>
      </w:r>
      <w:r w:rsidRPr="007E0E5B">
        <w:rPr>
          <w:sz w:val="19"/>
          <w:szCs w:val="19"/>
        </w:rPr>
        <w:t xml:space="preserve"> CO</w:t>
      </w:r>
      <w:r w:rsidRPr="007E0E5B">
        <w:rPr>
          <w:sz w:val="19"/>
          <w:szCs w:val="19"/>
          <w:vertAlign w:val="subscript"/>
        </w:rPr>
        <w:t>2</w:t>
      </w:r>
      <w:r w:rsidRPr="007E0E5B">
        <w:rPr>
          <w:sz w:val="19"/>
          <w:szCs w:val="19"/>
        </w:rPr>
        <w:t xml:space="preserve"> ist das bekannteste Treibhausgas (THG), aber rund ein Viertel der Erderwärmung geht auf andere Gase zurück, bspw. Methan (CH</w:t>
      </w:r>
      <w:r w:rsidRPr="007E0E5B">
        <w:rPr>
          <w:sz w:val="19"/>
          <w:szCs w:val="19"/>
          <w:vertAlign w:val="subscript"/>
        </w:rPr>
        <w:t>4</w:t>
      </w:r>
      <w:r w:rsidRPr="007E0E5B">
        <w:rPr>
          <w:sz w:val="19"/>
          <w:szCs w:val="19"/>
        </w:rPr>
        <w:t xml:space="preserve">), </w:t>
      </w:r>
      <w:r w:rsidR="004B1B6E" w:rsidRPr="007E0E5B">
        <w:rPr>
          <w:sz w:val="19"/>
          <w:szCs w:val="19"/>
        </w:rPr>
        <w:t xml:space="preserve">Lachgas </w:t>
      </w:r>
      <w:r w:rsidRPr="007E0E5B">
        <w:rPr>
          <w:sz w:val="19"/>
          <w:szCs w:val="19"/>
        </w:rPr>
        <w:t>(</w:t>
      </w:r>
      <w:r w:rsidR="004B1B6E" w:rsidRPr="007E0E5B">
        <w:rPr>
          <w:sz w:val="19"/>
          <w:szCs w:val="19"/>
        </w:rPr>
        <w:t xml:space="preserve">Distickstoffmonoxid, </w:t>
      </w:r>
      <w:r w:rsidRPr="007E0E5B">
        <w:rPr>
          <w:sz w:val="19"/>
          <w:szCs w:val="19"/>
        </w:rPr>
        <w:t>N</w:t>
      </w:r>
      <w:r w:rsidRPr="007E0E5B">
        <w:rPr>
          <w:sz w:val="19"/>
          <w:szCs w:val="19"/>
          <w:vertAlign w:val="subscript"/>
        </w:rPr>
        <w:t>2</w:t>
      </w:r>
      <w:r w:rsidRPr="007E0E5B">
        <w:rPr>
          <w:sz w:val="19"/>
          <w:szCs w:val="19"/>
        </w:rPr>
        <w:t xml:space="preserve">O) und </w:t>
      </w:r>
      <w:r w:rsidR="004B1B6E" w:rsidRPr="007E0E5B">
        <w:rPr>
          <w:sz w:val="19"/>
          <w:szCs w:val="19"/>
        </w:rPr>
        <w:t>verschiedene</w:t>
      </w:r>
      <w:r w:rsidRPr="007E0E5B">
        <w:rPr>
          <w:sz w:val="19"/>
          <w:szCs w:val="19"/>
        </w:rPr>
        <w:t xml:space="preserve"> Fluorchlorkohlenwasserstoffe (FCKW) und fluorierte Gase (F-Gase). Jedes einzelne Molekül vieler Nicht-CO</w:t>
      </w:r>
      <w:r w:rsidRPr="007E0E5B">
        <w:rPr>
          <w:sz w:val="19"/>
          <w:szCs w:val="19"/>
          <w:vertAlign w:val="subscript"/>
        </w:rPr>
        <w:t>2</w:t>
      </w:r>
      <w:r w:rsidRPr="007E0E5B">
        <w:rPr>
          <w:sz w:val="19"/>
          <w:szCs w:val="19"/>
        </w:rPr>
        <w:t xml:space="preserve">-Gase wird im kommenden Jahrhundert um ein Zehn-, Hundert- oder gar Tausendfaches mehr zur </w:t>
      </w:r>
      <w:r w:rsidR="0000556B" w:rsidRPr="007E0E5B">
        <w:rPr>
          <w:sz w:val="19"/>
          <w:szCs w:val="19"/>
        </w:rPr>
        <w:t xml:space="preserve">Erderwärmung </w:t>
      </w:r>
      <w:r w:rsidRPr="007E0E5B">
        <w:rPr>
          <w:sz w:val="19"/>
          <w:szCs w:val="19"/>
        </w:rPr>
        <w:t>beitragen als CO</w:t>
      </w:r>
      <w:r w:rsidRPr="007E0E5B">
        <w:rPr>
          <w:sz w:val="19"/>
          <w:szCs w:val="19"/>
          <w:vertAlign w:val="subscript"/>
        </w:rPr>
        <w:t>2</w:t>
      </w:r>
      <w:r w:rsidRPr="007E0E5B">
        <w:rPr>
          <w:sz w:val="19"/>
          <w:szCs w:val="19"/>
        </w:rPr>
        <w:t xml:space="preserve">. Die Konzentration dieser Gase in der Atmosphäre ist </w:t>
      </w:r>
      <w:r w:rsidR="0000556B" w:rsidRPr="007E0E5B">
        <w:rPr>
          <w:sz w:val="19"/>
          <w:szCs w:val="19"/>
        </w:rPr>
        <w:t xml:space="preserve">zwar </w:t>
      </w:r>
      <w:r w:rsidRPr="007E0E5B">
        <w:rPr>
          <w:sz w:val="19"/>
          <w:szCs w:val="19"/>
        </w:rPr>
        <w:t>noch gering, steigt aber rasch an.</w:t>
      </w:r>
    </w:p>
    <w:p w14:paraId="101986A4" w14:textId="2D294D59" w:rsidR="002C1D77" w:rsidRPr="007E0E5B" w:rsidRDefault="0000556B" w:rsidP="002B0434">
      <w:pPr>
        <w:keepLines/>
        <w:numPr>
          <w:ilvl w:val="0"/>
          <w:numId w:val="1"/>
        </w:numPr>
        <w:spacing w:after="120" w:line="276" w:lineRule="auto"/>
        <w:ind w:left="403" w:hanging="403"/>
        <w:jc w:val="left"/>
        <w:rPr>
          <w:sz w:val="19"/>
          <w:szCs w:val="19"/>
        </w:rPr>
      </w:pPr>
      <w:r w:rsidRPr="007E0E5B">
        <w:rPr>
          <w:b/>
          <w:sz w:val="19"/>
          <w:szCs w:val="19"/>
        </w:rPr>
        <w:lastRenderedPageBreak/>
        <w:t>Entscheidung zu</w:t>
      </w:r>
      <w:r w:rsidR="00DC05B0" w:rsidRPr="007E0E5B">
        <w:rPr>
          <w:b/>
          <w:sz w:val="19"/>
          <w:szCs w:val="19"/>
        </w:rPr>
        <w:t xml:space="preserve"> Investitionen in Forschung und Entwicklung (FuE) zur Erschließung einer neuen kostengünstigen und CO</w:t>
      </w:r>
      <w:r w:rsidR="00DC05B0" w:rsidRPr="007E0E5B">
        <w:rPr>
          <w:b/>
          <w:sz w:val="19"/>
          <w:szCs w:val="19"/>
          <w:vertAlign w:val="subscript"/>
        </w:rPr>
        <w:t>2</w:t>
      </w:r>
      <w:r w:rsidR="00DC05B0" w:rsidRPr="007E0E5B">
        <w:rPr>
          <w:b/>
          <w:sz w:val="19"/>
          <w:szCs w:val="19"/>
        </w:rPr>
        <w:t>-emissionsfreien Energiequelle:</w:t>
      </w:r>
      <w:r w:rsidR="00DC05B0" w:rsidRPr="007E0E5B">
        <w:rPr>
          <w:sz w:val="19"/>
          <w:szCs w:val="19"/>
        </w:rPr>
        <w:t xml:space="preserve"> Einige Wissenschaftler sind der Ansicht, dass neue Formen der Kernenergie wie die Thorium-</w:t>
      </w:r>
      <w:r w:rsidRPr="007E0E5B">
        <w:rPr>
          <w:sz w:val="19"/>
          <w:szCs w:val="19"/>
        </w:rPr>
        <w:t xml:space="preserve">Spaltung </w:t>
      </w:r>
      <w:r w:rsidR="00DC05B0" w:rsidRPr="007E0E5B">
        <w:rPr>
          <w:sz w:val="19"/>
          <w:szCs w:val="19"/>
        </w:rPr>
        <w:t xml:space="preserve">oder Kernfusion die beste Energiequelle </w:t>
      </w:r>
      <w:r w:rsidRPr="007E0E5B">
        <w:rPr>
          <w:sz w:val="19"/>
          <w:szCs w:val="19"/>
        </w:rPr>
        <w:t>wären, um</w:t>
      </w:r>
      <w:r w:rsidR="00DC05B0" w:rsidRPr="007E0E5B">
        <w:rPr>
          <w:sz w:val="19"/>
          <w:szCs w:val="19"/>
        </w:rPr>
        <w:t xml:space="preserve"> fossile Brennstoffe </w:t>
      </w:r>
      <w:r w:rsidRPr="007E0E5B">
        <w:rPr>
          <w:sz w:val="19"/>
          <w:szCs w:val="19"/>
        </w:rPr>
        <w:t>zu ersetzen</w:t>
      </w:r>
      <w:r w:rsidR="00DC05B0" w:rsidRPr="007E0E5B">
        <w:rPr>
          <w:sz w:val="19"/>
          <w:szCs w:val="19"/>
        </w:rPr>
        <w:t xml:space="preserve">, </w:t>
      </w:r>
      <w:r w:rsidRPr="007E0E5B">
        <w:rPr>
          <w:sz w:val="19"/>
          <w:szCs w:val="19"/>
        </w:rPr>
        <w:t>da diese Technologien ihres Erachtens in großem Maßstab kostengünstigen, CO</w:t>
      </w:r>
      <w:r w:rsidRPr="007E0E5B">
        <w:rPr>
          <w:sz w:val="19"/>
          <w:szCs w:val="19"/>
          <w:vertAlign w:val="subscript"/>
        </w:rPr>
        <w:t>2</w:t>
      </w:r>
      <w:r w:rsidRPr="007E0E5B">
        <w:rPr>
          <w:sz w:val="19"/>
          <w:szCs w:val="19"/>
        </w:rPr>
        <w:t>-freien Strom liefern könnten</w:t>
      </w:r>
      <w:r w:rsidR="00DC05B0" w:rsidRPr="007E0E5B">
        <w:rPr>
          <w:sz w:val="19"/>
          <w:szCs w:val="19"/>
        </w:rPr>
        <w:t xml:space="preserve">. Mehrere namhafte Hochschulen und Unternehmen </w:t>
      </w:r>
      <w:r w:rsidRPr="007E0E5B">
        <w:rPr>
          <w:sz w:val="19"/>
          <w:szCs w:val="19"/>
        </w:rPr>
        <w:t xml:space="preserve">untersuchen </w:t>
      </w:r>
      <w:r w:rsidR="00DC05B0" w:rsidRPr="007E0E5B">
        <w:rPr>
          <w:sz w:val="19"/>
          <w:szCs w:val="19"/>
        </w:rPr>
        <w:t>derzeit vielversprechende neue Lösungen im Bereich der Kernenergie. Diese neuen Technologien sind derzeit jedoch noch nicht einsetzbar und würden erhebliche Investitionen erfordern, um wirtschaftlich rentabel zu werden.</w:t>
      </w:r>
    </w:p>
    <w:p w14:paraId="3E4F0504" w14:textId="240F99FB" w:rsidR="002C1D77" w:rsidRPr="007E0E5B" w:rsidRDefault="00DC05B0" w:rsidP="002B0434">
      <w:pPr>
        <w:numPr>
          <w:ilvl w:val="0"/>
          <w:numId w:val="1"/>
        </w:numPr>
        <w:spacing w:after="120" w:line="276" w:lineRule="auto"/>
        <w:ind w:left="403" w:hanging="403"/>
        <w:jc w:val="left"/>
        <w:rPr>
          <w:sz w:val="19"/>
          <w:szCs w:val="19"/>
        </w:rPr>
      </w:pPr>
      <w:r w:rsidRPr="007E0E5B">
        <w:rPr>
          <w:b/>
          <w:sz w:val="19"/>
          <w:szCs w:val="19"/>
        </w:rPr>
        <w:t xml:space="preserve">Abwägung des Potenzials von </w:t>
      </w:r>
      <w:r w:rsidR="0000556B" w:rsidRPr="007E0E5B">
        <w:rPr>
          <w:b/>
          <w:sz w:val="19"/>
          <w:szCs w:val="19"/>
        </w:rPr>
        <w:t>Technologien zur CO</w:t>
      </w:r>
      <w:r w:rsidR="0000556B" w:rsidRPr="007E0E5B">
        <w:rPr>
          <w:b/>
          <w:sz w:val="19"/>
          <w:szCs w:val="19"/>
          <w:vertAlign w:val="subscript"/>
        </w:rPr>
        <w:t>2</w:t>
      </w:r>
      <w:r w:rsidR="0000556B" w:rsidRPr="007E0E5B">
        <w:rPr>
          <w:b/>
          <w:sz w:val="19"/>
          <w:szCs w:val="19"/>
        </w:rPr>
        <w:t>-Entnahme</w:t>
      </w:r>
      <w:r w:rsidRPr="007E0E5B">
        <w:rPr>
          <w:b/>
          <w:sz w:val="19"/>
          <w:szCs w:val="19"/>
        </w:rPr>
        <w:t>:</w:t>
      </w:r>
      <w:r w:rsidRPr="007E0E5B">
        <w:rPr>
          <w:sz w:val="19"/>
          <w:szCs w:val="19"/>
        </w:rPr>
        <w:t xml:space="preserve"> Auf dem neuen Forschungsgebiet der Verfahren zur CO</w:t>
      </w:r>
      <w:r w:rsidRPr="007E0E5B">
        <w:rPr>
          <w:sz w:val="19"/>
          <w:szCs w:val="19"/>
          <w:vertAlign w:val="subscript"/>
        </w:rPr>
        <w:t>2</w:t>
      </w:r>
      <w:r w:rsidRPr="007E0E5B">
        <w:rPr>
          <w:sz w:val="19"/>
          <w:szCs w:val="19"/>
        </w:rPr>
        <w:t>-</w:t>
      </w:r>
      <w:r w:rsidR="0000556B" w:rsidRPr="007E0E5B">
        <w:rPr>
          <w:sz w:val="19"/>
          <w:szCs w:val="19"/>
        </w:rPr>
        <w:t xml:space="preserve">Entnahme </w:t>
      </w:r>
      <w:r w:rsidRPr="007E0E5B">
        <w:rPr>
          <w:sz w:val="19"/>
          <w:szCs w:val="19"/>
        </w:rPr>
        <w:t>(Carbon Dioxide Removal – CDR) wird nach Methoden gesucht, bereits in der Atmosphäre vorhandenes CO</w:t>
      </w:r>
      <w:r w:rsidRPr="007E0E5B">
        <w:rPr>
          <w:sz w:val="19"/>
          <w:szCs w:val="19"/>
          <w:vertAlign w:val="subscript"/>
        </w:rPr>
        <w:t>2</w:t>
      </w:r>
      <w:r w:rsidRPr="007E0E5B">
        <w:rPr>
          <w:sz w:val="19"/>
          <w:szCs w:val="19"/>
        </w:rPr>
        <w:t xml:space="preserve"> zu entnehmen. Diese Technologien reichen von ggf. heute umsetzbaren Veränderungen landwirtschaftlicher Verfahren bis hin zu spekulativen und unerprobten Technologien wie der direkten CO</w:t>
      </w:r>
      <w:r w:rsidRPr="007E0E5B">
        <w:rPr>
          <w:sz w:val="19"/>
          <w:szCs w:val="19"/>
          <w:vertAlign w:val="subscript"/>
        </w:rPr>
        <w:t>2</w:t>
      </w:r>
      <w:r w:rsidRPr="007E0E5B">
        <w:rPr>
          <w:sz w:val="19"/>
          <w:szCs w:val="19"/>
        </w:rPr>
        <w:t>-Entnahme aus der Umgebungsluft (Direct Air Capture, DAC). Ihre Gruppe kann beschließen, in diese Technologien zu investieren.</w:t>
      </w:r>
    </w:p>
    <w:p w14:paraId="78803035" w14:textId="1871B718" w:rsidR="002C1D77" w:rsidRPr="007E0E5B" w:rsidRDefault="0000556B" w:rsidP="002B0434">
      <w:pPr>
        <w:numPr>
          <w:ilvl w:val="0"/>
          <w:numId w:val="1"/>
        </w:numPr>
        <w:tabs>
          <w:tab w:val="left" w:pos="355"/>
        </w:tabs>
        <w:spacing w:after="120" w:line="276" w:lineRule="auto"/>
        <w:ind w:left="403" w:hanging="403"/>
        <w:jc w:val="left"/>
        <w:rPr>
          <w:sz w:val="19"/>
          <w:szCs w:val="19"/>
        </w:rPr>
      </w:pPr>
      <w:r w:rsidRPr="007E0E5B">
        <w:rPr>
          <w:b/>
          <w:sz w:val="19"/>
          <w:szCs w:val="19"/>
        </w:rPr>
        <w:t xml:space="preserve">Erwägung </w:t>
      </w:r>
      <w:r w:rsidR="00DC05B0" w:rsidRPr="007E0E5B">
        <w:rPr>
          <w:b/>
          <w:sz w:val="19"/>
          <w:szCs w:val="19"/>
        </w:rPr>
        <w:t>einer CO</w:t>
      </w:r>
      <w:r w:rsidR="00DC05B0" w:rsidRPr="007E0E5B">
        <w:rPr>
          <w:b/>
          <w:sz w:val="19"/>
          <w:szCs w:val="19"/>
          <w:vertAlign w:val="subscript"/>
        </w:rPr>
        <w:t>2</w:t>
      </w:r>
      <w:r w:rsidR="00DC05B0" w:rsidRPr="007E0E5B">
        <w:rPr>
          <w:b/>
          <w:sz w:val="19"/>
          <w:szCs w:val="19"/>
        </w:rPr>
        <w:t>-Bepreisung:</w:t>
      </w:r>
      <w:r w:rsidR="00DC05B0" w:rsidRPr="007E0E5B">
        <w:rPr>
          <w:sz w:val="19"/>
          <w:szCs w:val="19"/>
        </w:rPr>
        <w:t xml:space="preserve"> Das globale Energiesystem beruht nach wie vor überwiegend auf der Verbrennung fossiler Energieträger, das dabei ausgestoßene CO</w:t>
      </w:r>
      <w:r w:rsidR="00DC05B0" w:rsidRPr="007E0E5B">
        <w:rPr>
          <w:sz w:val="19"/>
          <w:szCs w:val="19"/>
          <w:vertAlign w:val="subscript"/>
        </w:rPr>
        <w:t>2</w:t>
      </w:r>
      <w:r w:rsidR="00DC05B0" w:rsidRPr="007E0E5B">
        <w:rPr>
          <w:sz w:val="19"/>
          <w:szCs w:val="19"/>
        </w:rPr>
        <w:t xml:space="preserve"> ist bei weitem die größte </w:t>
      </w:r>
      <w:r w:rsidR="00E96704" w:rsidRPr="007E0E5B">
        <w:rPr>
          <w:sz w:val="19"/>
          <w:szCs w:val="19"/>
        </w:rPr>
        <w:t xml:space="preserve">Quelle </w:t>
      </w:r>
      <w:r w:rsidR="00DC05B0" w:rsidRPr="007E0E5B">
        <w:rPr>
          <w:sz w:val="19"/>
          <w:szCs w:val="19"/>
        </w:rPr>
        <w:t>von THG</w:t>
      </w:r>
      <w:r w:rsidR="00E96704" w:rsidRPr="007E0E5B">
        <w:rPr>
          <w:sz w:val="19"/>
          <w:szCs w:val="19"/>
        </w:rPr>
        <w:t>-Emissionen</w:t>
      </w:r>
      <w:r w:rsidR="00DC05B0" w:rsidRPr="007E0E5B">
        <w:rPr>
          <w:sz w:val="19"/>
          <w:szCs w:val="19"/>
        </w:rPr>
        <w:t>. Ökonomen sind sich darin einig, dass eine Bepreisung von CO</w:t>
      </w:r>
      <w:r w:rsidR="00DC05B0" w:rsidRPr="007E0E5B">
        <w:rPr>
          <w:sz w:val="19"/>
          <w:szCs w:val="19"/>
          <w:vertAlign w:val="subscript"/>
        </w:rPr>
        <w:t>2</w:t>
      </w:r>
      <w:r w:rsidR="001E2B10" w:rsidRPr="007E0E5B">
        <w:rPr>
          <w:sz w:val="19"/>
          <w:szCs w:val="19"/>
        </w:rPr>
        <w:noBreakHyphen/>
      </w:r>
      <w:r w:rsidR="00DC05B0" w:rsidRPr="007E0E5B">
        <w:rPr>
          <w:sz w:val="19"/>
          <w:szCs w:val="19"/>
        </w:rPr>
        <w:t>Emissionen am ehesten zur Senkung des weltweiten THG-Ausstoßes führen wird. Denkbar wäre eine schrittweise Einführung einer Bepreisung von CO</w:t>
      </w:r>
      <w:r w:rsidR="00DC05B0" w:rsidRPr="007E0E5B">
        <w:rPr>
          <w:sz w:val="19"/>
          <w:szCs w:val="19"/>
          <w:vertAlign w:val="subscript"/>
        </w:rPr>
        <w:t>2</w:t>
      </w:r>
      <w:r w:rsidR="00DC05B0" w:rsidRPr="007E0E5B">
        <w:rPr>
          <w:sz w:val="19"/>
          <w:szCs w:val="19"/>
        </w:rPr>
        <w:t xml:space="preserve">, um den Unternehmen und den Verbrauchern Zeit zu geben, sich darauf einzustellen. Die Einnahmen können an die Bevölkerung ausgeschüttet werden, andere Maßnahmen finanzieren, zur Verringerung der Haushaltsdefizite Ihrer Länder beitragen oder genutzt werden, um Entwicklungsländer bei der Verringerung ihrer Emissionen zu unterstützen. Zwar </w:t>
      </w:r>
      <w:r w:rsidRPr="007E0E5B">
        <w:rPr>
          <w:sz w:val="19"/>
          <w:szCs w:val="19"/>
        </w:rPr>
        <w:t xml:space="preserve">wurden </w:t>
      </w:r>
      <w:r w:rsidR="00DC05B0" w:rsidRPr="007E0E5B">
        <w:rPr>
          <w:sz w:val="19"/>
          <w:szCs w:val="19"/>
        </w:rPr>
        <w:t xml:space="preserve">in einigen Ländern, </w:t>
      </w:r>
      <w:r w:rsidRPr="007E0E5B">
        <w:rPr>
          <w:sz w:val="19"/>
          <w:szCs w:val="19"/>
        </w:rPr>
        <w:t xml:space="preserve">Bundesstaaten, Bundesländern </w:t>
      </w:r>
      <w:r w:rsidR="00DC05B0" w:rsidRPr="007E0E5B">
        <w:rPr>
          <w:sz w:val="19"/>
          <w:szCs w:val="19"/>
        </w:rPr>
        <w:t xml:space="preserve">und Regionen Ihrer Gruppe </w:t>
      </w:r>
      <w:r w:rsidRPr="007E0E5B">
        <w:rPr>
          <w:sz w:val="19"/>
          <w:szCs w:val="19"/>
        </w:rPr>
        <w:t xml:space="preserve">bereits </w:t>
      </w:r>
      <w:r w:rsidR="00DC05B0" w:rsidRPr="007E0E5B">
        <w:rPr>
          <w:sz w:val="19"/>
          <w:szCs w:val="19"/>
        </w:rPr>
        <w:t>CO</w:t>
      </w:r>
      <w:r w:rsidR="00DC05B0" w:rsidRPr="007E0E5B">
        <w:rPr>
          <w:sz w:val="19"/>
          <w:szCs w:val="19"/>
          <w:vertAlign w:val="subscript"/>
        </w:rPr>
        <w:t>2</w:t>
      </w:r>
      <w:r w:rsidR="00DC05B0" w:rsidRPr="007E0E5B">
        <w:rPr>
          <w:sz w:val="19"/>
          <w:szCs w:val="19"/>
        </w:rPr>
        <w:t xml:space="preserve">-Preise eingeführt, allerdings liegen diese meist </w:t>
      </w:r>
      <w:r w:rsidRPr="007E0E5B">
        <w:rPr>
          <w:sz w:val="19"/>
          <w:szCs w:val="19"/>
        </w:rPr>
        <w:t xml:space="preserve">deutlich </w:t>
      </w:r>
      <w:r w:rsidR="00DC05B0" w:rsidRPr="007E0E5B">
        <w:rPr>
          <w:sz w:val="19"/>
          <w:szCs w:val="19"/>
        </w:rPr>
        <w:t>unter dem von zahlreichen Ökonomen empfohlenen Mindestpreis von 30-50 USD je Tonne CO</w:t>
      </w:r>
      <w:r w:rsidR="00DC05B0" w:rsidRPr="007E0E5B">
        <w:rPr>
          <w:sz w:val="19"/>
          <w:szCs w:val="19"/>
          <w:vertAlign w:val="subscript"/>
        </w:rPr>
        <w:t>2</w:t>
      </w:r>
      <w:r w:rsidR="00DC05B0" w:rsidRPr="007E0E5B">
        <w:rPr>
          <w:sz w:val="19"/>
          <w:szCs w:val="19"/>
        </w:rPr>
        <w:t>. Die Industrie für fossile Brennstoffe lehnt eine CO</w:t>
      </w:r>
      <w:r w:rsidR="00DC05B0" w:rsidRPr="007E0E5B">
        <w:rPr>
          <w:sz w:val="19"/>
          <w:szCs w:val="19"/>
          <w:vertAlign w:val="subscript"/>
        </w:rPr>
        <w:t>2</w:t>
      </w:r>
      <w:r w:rsidR="001E2B10" w:rsidRPr="007E0E5B">
        <w:rPr>
          <w:sz w:val="19"/>
          <w:szCs w:val="19"/>
        </w:rPr>
        <w:noBreakHyphen/>
      </w:r>
      <w:r w:rsidR="00DC05B0" w:rsidRPr="007E0E5B">
        <w:rPr>
          <w:sz w:val="19"/>
          <w:szCs w:val="19"/>
        </w:rPr>
        <w:t>Bepreisung ab, ebenso wie Unternehmen, die stark von fossilen Brennstoffen abhängig sind.</w:t>
      </w:r>
    </w:p>
    <w:p w14:paraId="68C66593" w14:textId="77777777" w:rsidR="002C1D77" w:rsidRPr="007E0E5B" w:rsidRDefault="00DC05B0" w:rsidP="002B0434">
      <w:pPr>
        <w:spacing w:after="120" w:line="276" w:lineRule="auto"/>
        <w:jc w:val="left"/>
        <w:rPr>
          <w:b/>
          <w:sz w:val="19"/>
          <w:szCs w:val="19"/>
        </w:rPr>
      </w:pPr>
      <w:r w:rsidRPr="007E0E5B">
        <w:rPr>
          <w:b/>
          <w:color w:val="000000"/>
          <w:sz w:val="19"/>
          <w:szCs w:val="19"/>
        </w:rPr>
        <w:t>Weitere Überlegungen</w:t>
      </w:r>
    </w:p>
    <w:p w14:paraId="1E33B037" w14:textId="7B89E668" w:rsidR="002C1D77" w:rsidRPr="007E0E5B" w:rsidRDefault="00DC05B0" w:rsidP="002B0434">
      <w:pPr>
        <w:spacing w:after="120" w:line="276" w:lineRule="auto"/>
        <w:jc w:val="left"/>
        <w:rPr>
          <w:color w:val="000000"/>
          <w:sz w:val="19"/>
          <w:szCs w:val="19"/>
        </w:rPr>
      </w:pPr>
      <w:r w:rsidRPr="007E0E5B">
        <w:rPr>
          <w:color w:val="000000"/>
          <w:sz w:val="19"/>
          <w:szCs w:val="19"/>
        </w:rPr>
        <w:t xml:space="preserve">Ihre </w:t>
      </w:r>
      <w:r w:rsidR="00AC5A77" w:rsidRPr="007E0E5B">
        <w:rPr>
          <w:color w:val="000000"/>
          <w:sz w:val="19"/>
          <w:szCs w:val="19"/>
        </w:rPr>
        <w:t xml:space="preserve">Delegation </w:t>
      </w:r>
      <w:r w:rsidRPr="007E0E5B">
        <w:rPr>
          <w:color w:val="000000"/>
          <w:sz w:val="19"/>
          <w:szCs w:val="19"/>
        </w:rPr>
        <w:t>erkennt an, dass der Klimawandel stattfindet, vornehmlich durch die Verbrennung fossiler Brennstoffe verursacht wird und eine große Bedrohung für die Weltbevölkerung, auch für die Menschen in Ihren Ländern, darstellt. Der Klimawandel wirkt als starker Bedrohungsmultiplikator, der die nationale Sicherheit in Ihren Ländern untergräbt, da Klimaschäden zunehmend Konflikte und Migration verursachen, was teilweise bereits zu Gegenreaktionen und zur Einführung einwanderungsfeindlicher Maßnahmen führt.</w:t>
      </w:r>
    </w:p>
    <w:p w14:paraId="3FFBF277" w14:textId="205201E2" w:rsidR="002C1D77" w:rsidRPr="007E0E5B" w:rsidRDefault="00DC05B0" w:rsidP="002B0434">
      <w:pPr>
        <w:spacing w:after="120" w:line="276" w:lineRule="auto"/>
        <w:jc w:val="left"/>
        <w:rPr>
          <w:sz w:val="19"/>
          <w:szCs w:val="19"/>
        </w:rPr>
      </w:pPr>
      <w:r w:rsidRPr="007E0E5B">
        <w:rPr>
          <w:color w:val="000000"/>
          <w:sz w:val="19"/>
          <w:szCs w:val="19"/>
        </w:rPr>
        <w:t xml:space="preserve">Gleichzeitig sind Ihre Länder </w:t>
      </w:r>
      <w:r w:rsidR="00411F6D" w:rsidRPr="007E0E5B">
        <w:rPr>
          <w:color w:val="000000"/>
          <w:sz w:val="19"/>
          <w:szCs w:val="19"/>
        </w:rPr>
        <w:t xml:space="preserve">auf </w:t>
      </w:r>
      <w:r w:rsidRPr="007E0E5B">
        <w:rPr>
          <w:color w:val="000000"/>
          <w:sz w:val="19"/>
          <w:szCs w:val="19"/>
        </w:rPr>
        <w:t xml:space="preserve">fossile Brennstoffe </w:t>
      </w:r>
      <w:r w:rsidR="00411F6D" w:rsidRPr="007E0E5B">
        <w:rPr>
          <w:color w:val="000000"/>
          <w:sz w:val="19"/>
          <w:szCs w:val="19"/>
        </w:rPr>
        <w:t>angewiesen</w:t>
      </w:r>
      <w:r w:rsidRPr="007E0E5B">
        <w:rPr>
          <w:color w:val="000000"/>
          <w:sz w:val="19"/>
          <w:szCs w:val="19"/>
        </w:rPr>
        <w:t>, zumal</w:t>
      </w:r>
      <w:r w:rsidR="001E2B10" w:rsidRPr="007E0E5B">
        <w:rPr>
          <w:color w:val="000000"/>
          <w:sz w:val="19"/>
          <w:szCs w:val="19"/>
        </w:rPr>
        <w:t xml:space="preserve"> 36 % der </w:t>
      </w:r>
      <w:r w:rsidR="00411F6D" w:rsidRPr="007E0E5B">
        <w:rPr>
          <w:color w:val="000000"/>
          <w:sz w:val="19"/>
          <w:szCs w:val="19"/>
        </w:rPr>
        <w:t xml:space="preserve">derzeitigen </w:t>
      </w:r>
      <w:r w:rsidR="001E2B10" w:rsidRPr="007E0E5B">
        <w:rPr>
          <w:color w:val="000000"/>
          <w:sz w:val="19"/>
          <w:szCs w:val="19"/>
        </w:rPr>
        <w:t>globalen THG</w:t>
      </w:r>
      <w:r w:rsidR="001E2B10" w:rsidRPr="007E0E5B">
        <w:rPr>
          <w:color w:val="000000"/>
          <w:sz w:val="19"/>
          <w:szCs w:val="19"/>
        </w:rPr>
        <w:noBreakHyphen/>
      </w:r>
      <w:r w:rsidRPr="007E0E5B">
        <w:rPr>
          <w:color w:val="000000"/>
          <w:sz w:val="19"/>
          <w:szCs w:val="19"/>
        </w:rPr>
        <w:t xml:space="preserve">Emissionen und ein wesentlich höherer Anteil der seit der industriellen Revolution verursachten </w:t>
      </w:r>
      <w:r w:rsidR="00411F6D" w:rsidRPr="007E0E5B">
        <w:rPr>
          <w:color w:val="000000"/>
          <w:sz w:val="19"/>
          <w:szCs w:val="19"/>
        </w:rPr>
        <w:t xml:space="preserve">kumulierten </w:t>
      </w:r>
      <w:r w:rsidRPr="007E0E5B">
        <w:rPr>
          <w:color w:val="000000"/>
          <w:sz w:val="19"/>
          <w:szCs w:val="19"/>
        </w:rPr>
        <w:t xml:space="preserve">Emissionen auf </w:t>
      </w:r>
      <w:r w:rsidR="00411F6D" w:rsidRPr="007E0E5B">
        <w:rPr>
          <w:color w:val="000000"/>
          <w:sz w:val="19"/>
          <w:szCs w:val="19"/>
        </w:rPr>
        <w:t>I</w:t>
      </w:r>
      <w:r w:rsidRPr="007E0E5B">
        <w:rPr>
          <w:color w:val="000000"/>
          <w:sz w:val="19"/>
          <w:szCs w:val="19"/>
        </w:rPr>
        <w:t xml:space="preserve">hr Konto gehen. Die Volkswirtschaften einiger Länder Ihrer Gruppe </w:t>
      </w:r>
      <w:r w:rsidR="00411F6D" w:rsidRPr="007E0E5B">
        <w:rPr>
          <w:color w:val="000000"/>
          <w:sz w:val="19"/>
          <w:szCs w:val="19"/>
        </w:rPr>
        <w:t xml:space="preserve">beruhen maßgeblich auf dem Export </w:t>
      </w:r>
      <w:r w:rsidRPr="007E0E5B">
        <w:rPr>
          <w:color w:val="000000"/>
          <w:sz w:val="19"/>
          <w:szCs w:val="19"/>
        </w:rPr>
        <w:t>fossile</w:t>
      </w:r>
      <w:r w:rsidR="00411F6D" w:rsidRPr="007E0E5B">
        <w:rPr>
          <w:color w:val="000000"/>
          <w:sz w:val="19"/>
          <w:szCs w:val="19"/>
        </w:rPr>
        <w:t>r</w:t>
      </w:r>
      <w:r w:rsidRPr="007E0E5B">
        <w:rPr>
          <w:color w:val="000000"/>
          <w:sz w:val="19"/>
          <w:szCs w:val="19"/>
        </w:rPr>
        <w:t xml:space="preserve"> Brennstoffe, vor allem Russland (Öl und Gas), Australien (Kohle) und Kanada (Öl aus Teersand). Viele Regierungen und Unternehmen sind </w:t>
      </w:r>
      <w:r w:rsidR="00411F6D" w:rsidRPr="007E0E5B">
        <w:rPr>
          <w:color w:val="000000"/>
          <w:sz w:val="19"/>
          <w:szCs w:val="19"/>
        </w:rPr>
        <w:t xml:space="preserve">zunehmend </w:t>
      </w:r>
      <w:r w:rsidRPr="007E0E5B">
        <w:rPr>
          <w:color w:val="000000"/>
          <w:sz w:val="19"/>
          <w:szCs w:val="19"/>
        </w:rPr>
        <w:t xml:space="preserve">davon überzeugt, dass Klimaschutzmaßnahmen für die Wirtschaft von Nutzen sind. Energieeffizienz und </w:t>
      </w:r>
      <w:r w:rsidR="00411F6D" w:rsidRPr="007E0E5B">
        <w:rPr>
          <w:color w:val="000000"/>
          <w:sz w:val="19"/>
          <w:szCs w:val="19"/>
        </w:rPr>
        <w:t xml:space="preserve">Erneuerbare </w:t>
      </w:r>
      <w:r w:rsidRPr="007E0E5B">
        <w:rPr>
          <w:color w:val="000000"/>
          <w:sz w:val="19"/>
          <w:szCs w:val="19"/>
        </w:rPr>
        <w:t>Energien wie Wind</w:t>
      </w:r>
      <w:r w:rsidR="00411F6D" w:rsidRPr="007E0E5B">
        <w:rPr>
          <w:color w:val="000000"/>
          <w:sz w:val="19"/>
          <w:szCs w:val="19"/>
        </w:rPr>
        <w:t>kraft</w:t>
      </w:r>
      <w:r w:rsidRPr="007E0E5B">
        <w:rPr>
          <w:color w:val="000000"/>
          <w:sz w:val="19"/>
          <w:szCs w:val="19"/>
        </w:rPr>
        <w:t xml:space="preserve"> und </w:t>
      </w:r>
      <w:r w:rsidR="00411F6D" w:rsidRPr="007E0E5B">
        <w:rPr>
          <w:color w:val="000000"/>
          <w:sz w:val="19"/>
          <w:szCs w:val="19"/>
        </w:rPr>
        <w:t xml:space="preserve">Solarenergie </w:t>
      </w:r>
      <w:r w:rsidRPr="007E0E5B">
        <w:rPr>
          <w:color w:val="000000"/>
          <w:sz w:val="19"/>
          <w:szCs w:val="19"/>
        </w:rPr>
        <w:t>sind häufig rentabel, schaffen Arbeitsplätze und kommen der öffentlichen Gesundheit zugute.</w:t>
      </w:r>
    </w:p>
    <w:p w14:paraId="37B43CAE" w14:textId="2503EAEF" w:rsidR="009C12CB" w:rsidRDefault="00DC05B0" w:rsidP="002B0434">
      <w:pPr>
        <w:spacing w:line="276" w:lineRule="auto"/>
        <w:jc w:val="left"/>
        <w:rPr>
          <w:color w:val="000000"/>
          <w:sz w:val="19"/>
          <w:szCs w:val="19"/>
        </w:rPr>
      </w:pPr>
      <w:r w:rsidRPr="007E0E5B">
        <w:rPr>
          <w:color w:val="000000"/>
          <w:sz w:val="19"/>
          <w:szCs w:val="19"/>
        </w:rPr>
        <w:t xml:space="preserve">Während Ihre Länder sich um die Verringerung des Treibhausgasausstoßes bemühen, </w:t>
      </w:r>
      <w:r w:rsidR="00411F6D" w:rsidRPr="007E0E5B">
        <w:rPr>
          <w:color w:val="000000"/>
          <w:sz w:val="19"/>
          <w:szCs w:val="19"/>
        </w:rPr>
        <w:t>sehen Sie auch</w:t>
      </w:r>
      <w:r w:rsidRPr="007E0E5B">
        <w:rPr>
          <w:color w:val="000000"/>
          <w:sz w:val="19"/>
          <w:szCs w:val="19"/>
        </w:rPr>
        <w:t xml:space="preserve">, dass 28 % der weltweiten THG-Emissionen auf China als größten Verursacher zurückgehen und dass die Entwicklungsländer und </w:t>
      </w:r>
      <w:r w:rsidR="00411F6D" w:rsidRPr="007E0E5B">
        <w:rPr>
          <w:color w:val="000000"/>
          <w:sz w:val="19"/>
          <w:szCs w:val="19"/>
        </w:rPr>
        <w:t xml:space="preserve">die </w:t>
      </w:r>
      <w:r w:rsidRPr="007E0E5B">
        <w:rPr>
          <w:color w:val="000000"/>
          <w:sz w:val="19"/>
          <w:szCs w:val="19"/>
        </w:rPr>
        <w:t>Schwellenländer insgesamt 65 % der globalen Emissionen verursachen, auch wenn der Ausstoß pro Person in diesen Ländern niedrig ist.</w:t>
      </w:r>
    </w:p>
    <w:p w14:paraId="2258954A" w14:textId="77777777" w:rsidR="007E0E5B" w:rsidRPr="007E0E5B" w:rsidRDefault="007E0E5B" w:rsidP="007E0E5B">
      <w:pPr>
        <w:spacing w:line="276" w:lineRule="auto"/>
        <w:rPr>
          <w:color w:val="000000"/>
          <w:sz w:val="19"/>
          <w:szCs w:val="19"/>
        </w:rPr>
      </w:pPr>
    </w:p>
    <w:p w14:paraId="18889DDB" w14:textId="77777777" w:rsidR="009C12CB" w:rsidRPr="00F83382" w:rsidRDefault="009C12CB" w:rsidP="009C12CB">
      <w:pPr>
        <w:ind w:right="1"/>
        <w:jc w:val="center"/>
      </w:pPr>
      <w:r w:rsidRPr="00F83382">
        <w:t>_____________</w:t>
      </w:r>
    </w:p>
    <w:p w14:paraId="1CDF25A7" w14:textId="77777777" w:rsidR="009C12CB" w:rsidRPr="009C12CB" w:rsidRDefault="009C12CB">
      <w:pPr>
        <w:spacing w:line="276" w:lineRule="auto"/>
        <w:rPr>
          <w:sz w:val="20"/>
        </w:rPr>
      </w:pPr>
    </w:p>
    <w:sectPr w:rsidR="009C12CB" w:rsidRPr="009C12CB" w:rsidSect="004D0CFD">
      <w:footerReference w:type="default" r:id="rId12"/>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F2613" w14:textId="77777777" w:rsidR="005A014A" w:rsidRDefault="005A014A">
      <w:pPr>
        <w:spacing w:line="240" w:lineRule="auto"/>
      </w:pPr>
      <w:r>
        <w:separator/>
      </w:r>
    </w:p>
  </w:endnote>
  <w:endnote w:type="continuationSeparator" w:id="0">
    <w:p w14:paraId="608F2D18" w14:textId="77777777" w:rsidR="005A014A" w:rsidRDefault="005A0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827D2" w14:textId="77777777" w:rsidR="009C12CB" w:rsidRPr="00934588" w:rsidRDefault="009C12CB" w:rsidP="009C12CB">
    <w:pPr>
      <w:ind w:right="-283"/>
      <w:rPr>
        <w:i/>
        <w:sz w:val="20"/>
        <w:szCs w:val="20"/>
      </w:rPr>
    </w:pPr>
    <w:r w:rsidRPr="0068204B">
      <w:rPr>
        <w:i/>
        <w:sz w:val="16"/>
        <w:szCs w:val="20"/>
        <w:lang w:val="en-US"/>
      </w:rPr>
      <w:t>Entwickelt von Climate Interactive, MIT Sloan Sustainability Initiative, ESB Busines</w:t>
    </w:r>
    <w:r>
      <w:rPr>
        <w:i/>
        <w:sz w:val="16"/>
        <w:szCs w:val="20"/>
        <w:lang w:val="en-US"/>
      </w:rPr>
      <w:t xml:space="preserve">s School, </w:t>
    </w:r>
    <w:r w:rsidRPr="0068204B">
      <w:rPr>
        <w:i/>
        <w:sz w:val="16"/>
        <w:szCs w:val="20"/>
        <w:lang w:val="en-US"/>
      </w:rPr>
      <w:t xml:space="preserve">UML Climate Change Initiative. </w:t>
    </w:r>
    <w:r w:rsidRPr="0068204B">
      <w:rPr>
        <w:i/>
        <w:sz w:val="16"/>
        <w:szCs w:val="20"/>
      </w:rPr>
      <w:t>Ursprüngliche Übersetzung: EU-Kommission, Anpassung: Sprachwerkstatt Berlin</w:t>
    </w:r>
    <w:r>
      <w:rPr>
        <w:i/>
        <w:sz w:val="16"/>
        <w:szCs w:val="20"/>
      </w:rPr>
      <w:t xml:space="preserve">, </w:t>
    </w:r>
    <w:r w:rsidRPr="0068204B">
      <w:rPr>
        <w:i/>
        <w:sz w:val="16"/>
        <w:szCs w:val="20"/>
      </w:rPr>
      <w:t>ESB Business School. Stand engl. Version: Nov 2020</w:t>
    </w:r>
    <w:r>
      <w:rPr>
        <w:i/>
        <w:sz w:val="16"/>
        <w:szCs w:val="20"/>
      </w:rPr>
      <w:t xml:space="preserve">, </w:t>
    </w:r>
    <w:r w:rsidRPr="0068204B">
      <w:rPr>
        <w:i/>
        <w:sz w:val="16"/>
        <w:szCs w:val="20"/>
      </w:rPr>
      <w:t>dt. Version: Jun</w:t>
    </w:r>
    <w:r>
      <w:rPr>
        <w:i/>
        <w:sz w:val="16"/>
        <w:szCs w:val="20"/>
      </w:rPr>
      <w:t>i</w:t>
    </w:r>
    <w:r w:rsidRPr="0068204B">
      <w:rPr>
        <w:i/>
        <w:sz w:val="16"/>
        <w:szCs w:val="20"/>
      </w:rPr>
      <w:t xml:space="preserve"> 2021.</w:t>
    </w:r>
  </w:p>
  <w:p w14:paraId="1A919648" w14:textId="72594891" w:rsidR="004D0CFD" w:rsidRPr="00290B55" w:rsidRDefault="004D0CFD">
    <w:pPr>
      <w:pStyle w:val="Fuzeile"/>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0E3FD" w14:textId="77777777" w:rsidR="005A014A" w:rsidRDefault="005A014A"/>
  </w:footnote>
  <w:footnote w:type="continuationSeparator" w:id="0">
    <w:p w14:paraId="4F9B1F8B" w14:textId="77777777" w:rsidR="005A014A" w:rsidRDefault="005A01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8DA679E8"/>
    <w:lvl w:ilvl="0">
      <w:start w:val="1"/>
      <w:numFmt w:val="decimal"/>
      <w:pStyle w:val="berschrift1"/>
      <w:lvlText w:val="%1."/>
      <w:legacy w:legacy="1" w:legacySpace="0"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MwszAyMjK3MDI1MTZT0lEKTi0uzszPAykwrAUAt7XK9SwAAAA="/>
  </w:docVars>
  <w:rsids>
    <w:rsidRoot w:val="002C1D77"/>
    <w:rsid w:val="0000556B"/>
    <w:rsid w:val="0006720E"/>
    <w:rsid w:val="000A6D24"/>
    <w:rsid w:val="000C0D80"/>
    <w:rsid w:val="001E2B10"/>
    <w:rsid w:val="00290B55"/>
    <w:rsid w:val="002B0434"/>
    <w:rsid w:val="002C1D77"/>
    <w:rsid w:val="00411F6D"/>
    <w:rsid w:val="004B1B6E"/>
    <w:rsid w:val="004D0CFD"/>
    <w:rsid w:val="00511ADC"/>
    <w:rsid w:val="00571732"/>
    <w:rsid w:val="005A014A"/>
    <w:rsid w:val="005C1752"/>
    <w:rsid w:val="00600103"/>
    <w:rsid w:val="0062425D"/>
    <w:rsid w:val="006C0118"/>
    <w:rsid w:val="006D3A3F"/>
    <w:rsid w:val="007412A6"/>
    <w:rsid w:val="00756B2D"/>
    <w:rsid w:val="007835BC"/>
    <w:rsid w:val="007A09A4"/>
    <w:rsid w:val="007E0E5B"/>
    <w:rsid w:val="007E22AF"/>
    <w:rsid w:val="0082651B"/>
    <w:rsid w:val="008D409E"/>
    <w:rsid w:val="0091067F"/>
    <w:rsid w:val="009C12CB"/>
    <w:rsid w:val="009C6C48"/>
    <w:rsid w:val="00A20F6C"/>
    <w:rsid w:val="00A24043"/>
    <w:rsid w:val="00A26097"/>
    <w:rsid w:val="00A5200D"/>
    <w:rsid w:val="00A74BA4"/>
    <w:rsid w:val="00AA48B8"/>
    <w:rsid w:val="00AC5A77"/>
    <w:rsid w:val="00B02106"/>
    <w:rsid w:val="00BA1A41"/>
    <w:rsid w:val="00BE2C0D"/>
    <w:rsid w:val="00BE3933"/>
    <w:rsid w:val="00C06EB3"/>
    <w:rsid w:val="00C40521"/>
    <w:rsid w:val="00CE41FC"/>
    <w:rsid w:val="00DC05B0"/>
    <w:rsid w:val="00E1578A"/>
    <w:rsid w:val="00E2731F"/>
    <w:rsid w:val="00E350C8"/>
    <w:rsid w:val="00E50E91"/>
    <w:rsid w:val="00E96704"/>
    <w:rsid w:val="00F70A78"/>
    <w:rsid w:val="00F91705"/>
    <w:rsid w:val="00FE51CF"/>
    <w:rsid w:val="00FE6B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C5BE7"/>
  <w15:docId w15:val="{84CFDAFE-E106-4C4E-84E4-7E678F4E2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0CFD"/>
    <w:pPr>
      <w:widowControl/>
      <w:spacing w:line="288" w:lineRule="auto"/>
      <w:jc w:val="both"/>
    </w:pPr>
    <w:rPr>
      <w:sz w:val="22"/>
      <w:szCs w:val="22"/>
      <w:lang w:bidi="ar-SA"/>
    </w:rPr>
  </w:style>
  <w:style w:type="paragraph" w:styleId="berschrift1">
    <w:name w:val="heading 1"/>
    <w:basedOn w:val="Standard"/>
    <w:next w:val="Standard"/>
    <w:link w:val="berschrift1Zchn"/>
    <w:qFormat/>
    <w:rsid w:val="004D0CFD"/>
    <w:pPr>
      <w:numPr>
        <w:numId w:val="2"/>
      </w:numPr>
      <w:ind w:left="567" w:hanging="567"/>
      <w:outlineLvl w:val="0"/>
    </w:pPr>
    <w:rPr>
      <w:kern w:val="28"/>
    </w:rPr>
  </w:style>
  <w:style w:type="paragraph" w:styleId="berschrift2">
    <w:name w:val="heading 2"/>
    <w:basedOn w:val="Standard"/>
    <w:next w:val="Standard"/>
    <w:link w:val="berschrift2Zchn"/>
    <w:qFormat/>
    <w:rsid w:val="004D0CFD"/>
    <w:pPr>
      <w:numPr>
        <w:ilvl w:val="1"/>
        <w:numId w:val="2"/>
      </w:numPr>
      <w:ind w:left="567" w:hanging="567"/>
      <w:outlineLvl w:val="1"/>
    </w:pPr>
  </w:style>
  <w:style w:type="paragraph" w:styleId="berschrift3">
    <w:name w:val="heading 3"/>
    <w:basedOn w:val="Standard"/>
    <w:next w:val="Standard"/>
    <w:link w:val="berschrift3Zchn"/>
    <w:qFormat/>
    <w:rsid w:val="004D0CFD"/>
    <w:pPr>
      <w:numPr>
        <w:ilvl w:val="2"/>
        <w:numId w:val="2"/>
      </w:numPr>
      <w:ind w:left="567" w:hanging="567"/>
      <w:outlineLvl w:val="2"/>
    </w:pPr>
  </w:style>
  <w:style w:type="paragraph" w:styleId="berschrift4">
    <w:name w:val="heading 4"/>
    <w:basedOn w:val="Standard"/>
    <w:next w:val="Standard"/>
    <w:link w:val="berschrift4Zchn"/>
    <w:qFormat/>
    <w:rsid w:val="004D0CFD"/>
    <w:pPr>
      <w:numPr>
        <w:ilvl w:val="3"/>
        <w:numId w:val="2"/>
      </w:numPr>
      <w:ind w:left="567" w:hanging="567"/>
      <w:outlineLvl w:val="3"/>
    </w:pPr>
  </w:style>
  <w:style w:type="paragraph" w:styleId="berschrift5">
    <w:name w:val="heading 5"/>
    <w:basedOn w:val="Standard"/>
    <w:next w:val="Standard"/>
    <w:link w:val="berschrift5Zchn"/>
    <w:qFormat/>
    <w:rsid w:val="004D0CFD"/>
    <w:pPr>
      <w:numPr>
        <w:ilvl w:val="4"/>
        <w:numId w:val="2"/>
      </w:numPr>
      <w:ind w:left="567" w:hanging="567"/>
      <w:outlineLvl w:val="4"/>
    </w:pPr>
  </w:style>
  <w:style w:type="paragraph" w:styleId="berschrift6">
    <w:name w:val="heading 6"/>
    <w:basedOn w:val="Standard"/>
    <w:next w:val="Standard"/>
    <w:link w:val="berschrift6Zchn"/>
    <w:qFormat/>
    <w:rsid w:val="004D0CFD"/>
    <w:pPr>
      <w:numPr>
        <w:ilvl w:val="5"/>
        <w:numId w:val="2"/>
      </w:numPr>
      <w:ind w:left="567" w:hanging="567"/>
      <w:outlineLvl w:val="5"/>
    </w:pPr>
  </w:style>
  <w:style w:type="paragraph" w:styleId="berschrift7">
    <w:name w:val="heading 7"/>
    <w:basedOn w:val="Standard"/>
    <w:next w:val="Standard"/>
    <w:link w:val="berschrift7Zchn"/>
    <w:qFormat/>
    <w:rsid w:val="004D0CFD"/>
    <w:pPr>
      <w:numPr>
        <w:ilvl w:val="6"/>
        <w:numId w:val="2"/>
      </w:numPr>
      <w:ind w:left="567" w:hanging="567"/>
      <w:outlineLvl w:val="6"/>
    </w:pPr>
  </w:style>
  <w:style w:type="paragraph" w:styleId="berschrift8">
    <w:name w:val="heading 8"/>
    <w:basedOn w:val="Standard"/>
    <w:next w:val="Standard"/>
    <w:link w:val="berschrift8Zchn"/>
    <w:qFormat/>
    <w:rsid w:val="004D0CFD"/>
    <w:pPr>
      <w:numPr>
        <w:ilvl w:val="7"/>
        <w:numId w:val="2"/>
      </w:numPr>
      <w:ind w:left="567" w:hanging="567"/>
      <w:outlineLvl w:val="7"/>
    </w:pPr>
  </w:style>
  <w:style w:type="paragraph" w:styleId="berschrift9">
    <w:name w:val="heading 9"/>
    <w:basedOn w:val="Standard"/>
    <w:next w:val="Standard"/>
    <w:link w:val="berschrift9Zchn"/>
    <w:qFormat/>
    <w:rsid w:val="004D0CFD"/>
    <w:pPr>
      <w:numPr>
        <w:ilvl w:val="8"/>
        <w:numId w:val="2"/>
      </w:numPr>
      <w:ind w:left="567" w:hanging="567"/>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D0CFD"/>
    <w:rPr>
      <w:color w:val="0563C1" w:themeColor="hyperlink"/>
      <w:u w:val="single"/>
    </w:rPr>
  </w:style>
  <w:style w:type="character" w:customStyle="1" w:styleId="Heading11">
    <w:name w:val="Heading #1|1_"/>
    <w:basedOn w:val="Absatz-Standardschriftart"/>
    <w:link w:val="Heading110"/>
    <w:rPr>
      <w:rFonts w:ascii="Arial" w:eastAsia="Arial" w:hAnsi="Arial" w:cs="Arial"/>
      <w:b/>
      <w:bCs/>
      <w:i w:val="0"/>
      <w:iCs w:val="0"/>
      <w:smallCaps w:val="0"/>
      <w:strike w:val="0"/>
      <w:sz w:val="36"/>
      <w:szCs w:val="36"/>
      <w:u w:val="none"/>
    </w:rPr>
  </w:style>
  <w:style w:type="character" w:customStyle="1" w:styleId="Bodytext2">
    <w:name w:val="Body text|2"/>
    <w:basedOn w:val="Absatz-Standardschriftar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de-DE" w:eastAsia="en-US" w:bidi="en-US"/>
    </w:rPr>
  </w:style>
  <w:style w:type="character" w:customStyle="1" w:styleId="Bodytext22">
    <w:name w:val="Body text|22"/>
    <w:basedOn w:val="Absatz-Standardschriftar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de-DE" w:eastAsia="en-US" w:bidi="en-US"/>
    </w:rPr>
  </w:style>
  <w:style w:type="character" w:customStyle="1" w:styleId="Bodytext21">
    <w:name w:val="Body text|21"/>
    <w:basedOn w:val="Absatz-Standardschriftar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de-DE" w:eastAsia="en-US" w:bidi="en-US"/>
    </w:rPr>
  </w:style>
  <w:style w:type="character" w:customStyle="1" w:styleId="Bodytext2Bold">
    <w:name w:val="Body text|2 + Bold"/>
    <w:basedOn w:val="Absatz-Standardschriftar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26pt">
    <w:name w:val="Body text|2 + 6 pt"/>
    <w:basedOn w:val="Absatz-Standardschriftar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de-DE" w:eastAsia="en-US" w:bidi="en-US"/>
    </w:rPr>
  </w:style>
  <w:style w:type="character" w:customStyle="1" w:styleId="Bodytext3NotBold">
    <w:name w:val="Body text|3 + Not Bold"/>
    <w:basedOn w:val="Absatz-Standardschriftar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de-DE" w:eastAsia="en-US" w:bidi="en-US"/>
    </w:rPr>
  </w:style>
  <w:style w:type="character" w:customStyle="1" w:styleId="Bodytext36ptNotBold">
    <w:name w:val="Body text|3 + 6 pt;Not Bold"/>
    <w:basedOn w:val="Absatz-Standardschriftar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de-DE" w:eastAsia="en-US" w:bidi="en-US"/>
    </w:rPr>
  </w:style>
  <w:style w:type="character" w:customStyle="1" w:styleId="Bodytext3">
    <w:name w:val="Body text|3"/>
    <w:basedOn w:val="Absatz-Standardschriftar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e-DE" w:eastAsia="en-US" w:bidi="en-US"/>
    </w:rPr>
  </w:style>
  <w:style w:type="character" w:customStyle="1" w:styleId="Bodytext26pt1">
    <w:name w:val="Body text|2 + 6 pt1"/>
    <w:basedOn w:val="Absatz-Standardschriftar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de-DE" w:eastAsia="en-US" w:bidi="en-US"/>
    </w:rPr>
  </w:style>
  <w:style w:type="character" w:customStyle="1" w:styleId="Bodytext2Bold1">
    <w:name w:val="Body text|2 + Bold1"/>
    <w:basedOn w:val="Absatz-Standardschriftar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de-DE" w:eastAsia="en-US" w:bidi="en-US"/>
    </w:rPr>
  </w:style>
  <w:style w:type="table" w:styleId="Tabellenraster">
    <w:name w:val="Table Grid"/>
    <w:basedOn w:val="NormaleTabelle"/>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Standard"/>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berschrift1Zchn">
    <w:name w:val="Überschrift 1 Zchn"/>
    <w:basedOn w:val="Absatz-Standardschriftart"/>
    <w:link w:val="berschrift1"/>
    <w:rsid w:val="004D0CFD"/>
    <w:rPr>
      <w:kern w:val="28"/>
      <w:sz w:val="22"/>
      <w:szCs w:val="22"/>
      <w:lang w:bidi="ar-SA"/>
    </w:rPr>
  </w:style>
  <w:style w:type="character" w:customStyle="1" w:styleId="berschrift2Zchn">
    <w:name w:val="Überschrift 2 Zchn"/>
    <w:basedOn w:val="Absatz-Standardschriftart"/>
    <w:link w:val="berschrift2"/>
    <w:rsid w:val="004D0CFD"/>
    <w:rPr>
      <w:sz w:val="22"/>
      <w:szCs w:val="22"/>
      <w:lang w:bidi="ar-SA"/>
    </w:rPr>
  </w:style>
  <w:style w:type="character" w:customStyle="1" w:styleId="berschrift3Zchn">
    <w:name w:val="Überschrift 3 Zchn"/>
    <w:basedOn w:val="Absatz-Standardschriftart"/>
    <w:link w:val="berschrift3"/>
    <w:rsid w:val="004D0CFD"/>
    <w:rPr>
      <w:sz w:val="22"/>
      <w:szCs w:val="22"/>
      <w:lang w:bidi="ar-SA"/>
    </w:rPr>
  </w:style>
  <w:style w:type="character" w:customStyle="1" w:styleId="berschrift4Zchn">
    <w:name w:val="Überschrift 4 Zchn"/>
    <w:basedOn w:val="Absatz-Standardschriftart"/>
    <w:link w:val="berschrift4"/>
    <w:rsid w:val="004D0CFD"/>
    <w:rPr>
      <w:sz w:val="22"/>
      <w:szCs w:val="22"/>
      <w:lang w:bidi="ar-SA"/>
    </w:rPr>
  </w:style>
  <w:style w:type="character" w:customStyle="1" w:styleId="berschrift5Zchn">
    <w:name w:val="Überschrift 5 Zchn"/>
    <w:basedOn w:val="Absatz-Standardschriftart"/>
    <w:link w:val="berschrift5"/>
    <w:rsid w:val="004D0CFD"/>
    <w:rPr>
      <w:sz w:val="22"/>
      <w:szCs w:val="22"/>
      <w:lang w:bidi="ar-SA"/>
    </w:rPr>
  </w:style>
  <w:style w:type="character" w:customStyle="1" w:styleId="berschrift6Zchn">
    <w:name w:val="Überschrift 6 Zchn"/>
    <w:basedOn w:val="Absatz-Standardschriftart"/>
    <w:link w:val="berschrift6"/>
    <w:rsid w:val="004D0CFD"/>
    <w:rPr>
      <w:sz w:val="22"/>
      <w:szCs w:val="22"/>
      <w:lang w:bidi="ar-SA"/>
    </w:rPr>
  </w:style>
  <w:style w:type="character" w:customStyle="1" w:styleId="berschrift7Zchn">
    <w:name w:val="Überschrift 7 Zchn"/>
    <w:basedOn w:val="Absatz-Standardschriftart"/>
    <w:link w:val="berschrift7"/>
    <w:rsid w:val="004D0CFD"/>
    <w:rPr>
      <w:sz w:val="22"/>
      <w:szCs w:val="22"/>
      <w:lang w:bidi="ar-SA"/>
    </w:rPr>
  </w:style>
  <w:style w:type="character" w:customStyle="1" w:styleId="berschrift8Zchn">
    <w:name w:val="Überschrift 8 Zchn"/>
    <w:basedOn w:val="Absatz-Standardschriftart"/>
    <w:link w:val="berschrift8"/>
    <w:rsid w:val="004D0CFD"/>
    <w:rPr>
      <w:sz w:val="22"/>
      <w:szCs w:val="22"/>
      <w:lang w:bidi="ar-SA"/>
    </w:rPr>
  </w:style>
  <w:style w:type="character" w:customStyle="1" w:styleId="berschrift9Zchn">
    <w:name w:val="Überschrift 9 Zchn"/>
    <w:basedOn w:val="Absatz-Standardschriftart"/>
    <w:link w:val="berschrift9"/>
    <w:rsid w:val="004D0CFD"/>
    <w:rPr>
      <w:sz w:val="22"/>
      <w:szCs w:val="22"/>
      <w:lang w:bidi="ar-SA"/>
    </w:rPr>
  </w:style>
  <w:style w:type="paragraph" w:styleId="Fuzeile">
    <w:name w:val="footer"/>
    <w:basedOn w:val="Standard"/>
    <w:link w:val="FuzeileZchn"/>
    <w:qFormat/>
    <w:rsid w:val="004D0CFD"/>
  </w:style>
  <w:style w:type="character" w:customStyle="1" w:styleId="FuzeileZchn">
    <w:name w:val="Fußzeile Zchn"/>
    <w:basedOn w:val="Absatz-Standardschriftart"/>
    <w:link w:val="Fuzeile"/>
    <w:rsid w:val="004D0CFD"/>
    <w:rPr>
      <w:sz w:val="22"/>
      <w:szCs w:val="22"/>
      <w:lang w:bidi="ar-SA"/>
    </w:rPr>
  </w:style>
  <w:style w:type="paragraph" w:styleId="Funotentext">
    <w:name w:val="footnote text"/>
    <w:basedOn w:val="Standard"/>
    <w:link w:val="FunotentextZchn"/>
    <w:qFormat/>
    <w:rsid w:val="004D0CFD"/>
    <w:pPr>
      <w:keepLines/>
      <w:spacing w:after="60" w:line="240" w:lineRule="auto"/>
      <w:ind w:left="567" w:hanging="567"/>
    </w:pPr>
    <w:rPr>
      <w:sz w:val="16"/>
    </w:rPr>
  </w:style>
  <w:style w:type="character" w:customStyle="1" w:styleId="FunotentextZchn">
    <w:name w:val="Fußnotentext Zchn"/>
    <w:basedOn w:val="Absatz-Standardschriftart"/>
    <w:link w:val="Funotentext"/>
    <w:rsid w:val="004D0CFD"/>
    <w:rPr>
      <w:sz w:val="16"/>
      <w:szCs w:val="22"/>
      <w:lang w:bidi="ar-SA"/>
    </w:rPr>
  </w:style>
  <w:style w:type="paragraph" w:styleId="Kopfzeile">
    <w:name w:val="header"/>
    <w:basedOn w:val="Standard"/>
    <w:link w:val="KopfzeileZchn"/>
    <w:qFormat/>
    <w:rsid w:val="004D0CFD"/>
  </w:style>
  <w:style w:type="character" w:customStyle="1" w:styleId="KopfzeileZchn">
    <w:name w:val="Kopfzeile Zchn"/>
    <w:basedOn w:val="Absatz-Standardschriftart"/>
    <w:link w:val="Kopfzeile"/>
    <w:rsid w:val="004D0CFD"/>
    <w:rPr>
      <w:sz w:val="22"/>
      <w:szCs w:val="22"/>
      <w:lang w:bidi="ar-SA"/>
    </w:rPr>
  </w:style>
  <w:style w:type="paragraph" w:customStyle="1" w:styleId="quotes">
    <w:name w:val="quotes"/>
    <w:basedOn w:val="Standard"/>
    <w:next w:val="Standard"/>
    <w:rsid w:val="004D0CFD"/>
    <w:pPr>
      <w:ind w:left="720"/>
    </w:pPr>
    <w:rPr>
      <w:i/>
    </w:rPr>
  </w:style>
  <w:style w:type="character" w:styleId="Funotenzeichen">
    <w:name w:val="footnote reference"/>
    <w:basedOn w:val="Absatz-Standardschriftart"/>
    <w:unhideWhenUsed/>
    <w:qFormat/>
    <w:rsid w:val="004D0CFD"/>
    <w:rPr>
      <w:sz w:val="24"/>
      <w:vertAlign w:val="superscript"/>
    </w:rPr>
  </w:style>
  <w:style w:type="character" w:customStyle="1" w:styleId="NichtaufgelsteErwhnung1">
    <w:name w:val="Nicht aufgelöste Erwähnung1"/>
    <w:basedOn w:val="Absatz-Standardschriftart"/>
    <w:uiPriority w:val="99"/>
    <w:semiHidden/>
    <w:unhideWhenUsed/>
    <w:rsid w:val="00CE41FC"/>
    <w:rPr>
      <w:color w:val="605E5C"/>
      <w:shd w:val="clear" w:color="auto" w:fill="E1DFDD"/>
    </w:rPr>
  </w:style>
  <w:style w:type="paragraph" w:styleId="Sprechblasentext">
    <w:name w:val="Balloon Text"/>
    <w:basedOn w:val="Standard"/>
    <w:link w:val="SprechblasentextZchn"/>
    <w:uiPriority w:val="99"/>
    <w:semiHidden/>
    <w:unhideWhenUsed/>
    <w:rsid w:val="009C12C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C12CB"/>
    <w:rPr>
      <w:rFonts w:ascii="Segoe UI" w:hAnsi="Segoe UI" w:cs="Segoe UI"/>
      <w:sz w:val="18"/>
      <w:szCs w:val="18"/>
      <w:lang w:bidi="ar-SA"/>
    </w:rPr>
  </w:style>
  <w:style w:type="paragraph" w:styleId="berarbeitung">
    <w:name w:val="Revision"/>
    <w:hidden/>
    <w:uiPriority w:val="99"/>
    <w:semiHidden/>
    <w:rsid w:val="009C12CB"/>
    <w:pPr>
      <w:widowControl/>
    </w:pPr>
    <w:rPr>
      <w:sz w:val="22"/>
      <w:szCs w:val="22"/>
      <w:lang w:bidi="ar-SA"/>
    </w:rPr>
  </w:style>
  <w:style w:type="character" w:styleId="Kommentarzeichen">
    <w:name w:val="annotation reference"/>
    <w:basedOn w:val="Absatz-Standardschriftart"/>
    <w:uiPriority w:val="99"/>
    <w:semiHidden/>
    <w:unhideWhenUsed/>
    <w:rsid w:val="009C12CB"/>
    <w:rPr>
      <w:sz w:val="16"/>
      <w:szCs w:val="16"/>
    </w:rPr>
  </w:style>
  <w:style w:type="paragraph" w:styleId="Kommentartext">
    <w:name w:val="annotation text"/>
    <w:basedOn w:val="Standard"/>
    <w:link w:val="KommentartextZchn"/>
    <w:uiPriority w:val="99"/>
    <w:semiHidden/>
    <w:unhideWhenUsed/>
    <w:rsid w:val="009C12C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12CB"/>
    <w:rPr>
      <w:sz w:val="20"/>
      <w:szCs w:val="20"/>
      <w:lang w:bidi="ar-SA"/>
    </w:rPr>
  </w:style>
  <w:style w:type="paragraph" w:styleId="Kommentarthema">
    <w:name w:val="annotation subject"/>
    <w:basedOn w:val="Kommentartext"/>
    <w:next w:val="Kommentartext"/>
    <w:link w:val="KommentarthemaZchn"/>
    <w:uiPriority w:val="99"/>
    <w:semiHidden/>
    <w:unhideWhenUsed/>
    <w:rsid w:val="009C12CB"/>
    <w:rPr>
      <w:b/>
      <w:bCs/>
    </w:rPr>
  </w:style>
  <w:style w:type="character" w:customStyle="1" w:styleId="KommentarthemaZchn">
    <w:name w:val="Kommentarthema Zchn"/>
    <w:basedOn w:val="KommentartextZchn"/>
    <w:link w:val="Kommentarthema"/>
    <w:uiPriority w:val="99"/>
    <w:semiHidden/>
    <w:rsid w:val="009C12CB"/>
    <w:rPr>
      <w:b/>
      <w:bCs/>
      <w:sz w:val="20"/>
      <w:szCs w:val="20"/>
      <w:lang w:bidi="ar-SA"/>
    </w:rPr>
  </w:style>
  <w:style w:type="character" w:customStyle="1" w:styleId="Bodytext20">
    <w:name w:val="Body text|2_"/>
    <w:basedOn w:val="Absatz-Standardschriftart"/>
    <w:rsid w:val="009C12CB"/>
    <w:rPr>
      <w:b w:val="0"/>
      <w:bCs w:val="0"/>
      <w:i w:val="0"/>
      <w:iCs w:val="0"/>
      <w:smallCaps w:val="0"/>
      <w:strike w:val="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CTJJHAUHWN5E-644613129-2990</_dlc_DocId>
    <_dlc_DocIdUrl xmlns="bfc960a6-20da-4c94-8684-71380fca093b">
      <Url>http://dm2016/eesc/2019/_layouts/15/DocIdRedir.aspx?ID=CTJJHAUHWN5E-644613129-2990</Url>
      <Description>CTJJHAUHWN5E-644613129-2990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F0420F-A6F6-4E24-B0AE-037609F03DFE}">
  <ds:schemaRefs>
    <ds:schemaRef ds:uri="http://schemas.microsoft.com/sharepoint/v3/contenttype/forms"/>
  </ds:schemaRefs>
</ds:datastoreItem>
</file>

<file path=customXml/itemProps2.xml><?xml version="1.0" encoding="utf-8"?>
<ds:datastoreItem xmlns:ds="http://schemas.openxmlformats.org/officeDocument/2006/customXml" ds:itemID="{E3DF5EB3-71B0-4F0A-B56A-8C1AFDA534DE}">
  <ds:schemaRefs>
    <ds:schemaRef ds:uri="http://schemas.microsoft.com/office/2006/metadata/properties"/>
    <ds:schemaRef ds:uri="http://schemas.microsoft.com/office/infopath/2007/PartnerControls"/>
    <ds:schemaRef ds:uri="bfc960a6-20da-4c94-8684-71380fca093b"/>
    <ds:schemaRef ds:uri="http://schemas.microsoft.com/sharepoint/v3/fields"/>
    <ds:schemaRef ds:uri="8374e8f1-db99-4c7a-b8f0-8b1e32999b5b"/>
  </ds:schemaRefs>
</ds:datastoreItem>
</file>

<file path=customXml/itemProps3.xml><?xml version="1.0" encoding="utf-8"?>
<ds:datastoreItem xmlns:ds="http://schemas.openxmlformats.org/officeDocument/2006/customXml" ds:itemID="{DDAF713D-9983-4A2E-9781-D9315D60F3D4}">
  <ds:schemaRefs>
    <ds:schemaRef ds:uri="http://schemas.microsoft.com/sharepoint/events"/>
  </ds:schemaRefs>
</ds:datastoreItem>
</file>

<file path=customXml/itemProps4.xml><?xml version="1.0" encoding="utf-8"?>
<ds:datastoreItem xmlns:ds="http://schemas.openxmlformats.org/officeDocument/2006/customXml" ds:itemID="{A385DF7F-0F0E-430B-A5BE-F6F312883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960a6-20da-4c94-8684-71380fca093b"/>
    <ds:schemaRef ds:uri="http://schemas.microsoft.com/sharepoint/v3/fields"/>
    <ds:schemaRef ds:uri="8374e8f1-db99-4c7a-b8f0-8b1e32999b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1183</Words>
  <Characters>7457</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YEYS 2020  Arbeitsdokumente  Gruppe 6A  Planspiel Klimagipfel: Industrieländer</vt:lpstr>
      <vt:lpstr/>
    </vt:vector>
  </TitlesOfParts>
  <Company>EESC-ECOR</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Arbeitsdokumente  Gruppe 6A  Planspiel Klimagipfel: Industrieländer</dc:title>
  <dc:subject>Informationsdokument</dc:subject>
  <dc:creator>Kapmeier, Florian</dc:creator>
  <cp:keywords>EESC-2019-05163-05-00-INFO-TRA-EN</cp:keywords>
  <dc:description>Rapporteur:  - Original language: EN - Date of document: 10/12/2019 - Date of meeting:  - External documents:  - Administrator: MME LAHOUSSE Chloé</dc:description>
  <cp:lastModifiedBy>Andrea Blechschmitt</cp:lastModifiedBy>
  <cp:revision>5</cp:revision>
  <dcterms:created xsi:type="dcterms:W3CDTF">2021-06-11T18:22:00Z</dcterms:created>
  <dcterms:modified xsi:type="dcterms:W3CDTF">2021-06-13T07:52:00Z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1dad21a1-197a-4216-9607-50a45748208a</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0" name="DocumentType">
    <vt:lpwstr>11;#INFO|d9136e7c-93a9-4c42-9d28-92b61e85f80c</vt:lpwstr>
  </property>
  <property fmtid="{D5CDD505-2E9C-101B-9397-08002B2CF9AE}" pid="21" name="RequestingService">
    <vt:lpwstr>Visites / Publications</vt:lpwstr>
  </property>
  <property fmtid="{D5CDD505-2E9C-101B-9397-08002B2CF9AE}" pid="22" name="Confidentiality">
    <vt:lpwstr>5;#Unrestricted|826e22d7-d029-4ec0-a450-0c28ff673572</vt:lpwstr>
  </property>
  <property fmtid="{D5CDD505-2E9C-101B-9397-08002B2CF9AE}" pid="23" name="MeetingName_0">
    <vt:lpwstr/>
  </property>
  <property fmtid="{D5CDD505-2E9C-101B-9397-08002B2CF9AE}" pid="24" name="Confidentiality_0">
    <vt:lpwstr>Unrestricted|826e22d7-d029-4ec0-a450-0c28ff673572</vt:lpwstr>
  </property>
  <property fmtid="{D5CDD505-2E9C-101B-9397-08002B2CF9AE}" pid="25" name="OriginalLanguage">
    <vt:lpwstr>4;#EN|f2175f21-25d7-44a3-96da-d6a61b075e1b</vt:lpwstr>
  </property>
  <property fmtid="{D5CDD505-2E9C-101B-9397-08002B2CF9AE}" pid="26" name="MeetingName">
    <vt:lpwstr/>
  </property>
  <property fmtid="{D5CDD505-2E9C-101B-9397-08002B2CF9AE}" pid="27" name="AvailableTranslations_0">
    <vt:lpwstr>MT|7df99101-6854-4a26-b53a-b88c0da02c26;MK|34ce48bb-063e-4413-a932-50853dc71c5c;TR|6e4ededd-04c4-4fa0-94e0-1028050302d5;PT|50ccc04a-eadd-42ae-a0cb-acaf45f812ba;PL|1e03da61-4678-4e07-b136-b5024ca9197b;SK|46d9fce0-ef79-4f71-b89b-cd6aa82426b8;FI|87606a43-d45</vt:lpwstr>
  </property>
  <property fmtid="{D5CDD505-2E9C-101B-9397-08002B2CF9AE}" pid="28" name="DocumentStatus_0">
    <vt:lpwstr>TRA|150d2a88-1431-44e6-a8ca-0bb753ab8672</vt:lpwstr>
  </property>
  <property fmtid="{D5CDD505-2E9C-101B-9397-08002B2CF9AE}" pid="29" name="OriginalLanguage_0">
    <vt:lpwstr>EN|f2175f21-25d7-44a3-96da-d6a61b075e1b</vt:lpwstr>
  </property>
  <property fmtid="{D5CDD505-2E9C-101B-9397-08002B2CF9AE}" pid="30" name="TaxCatchAll">
    <vt:lpwstr>162;#TR|6e4ededd-04c4-4fa0-94e0-1028050302d5;#72;#GA|762d2456-c427-4ecb-b312-af3dad8e258c;#246;#ME|925b3da5-5ac0-4b3c-928c-6ef66a5c9b3c;#154;#SQ|5ac17240-8d11-45ec-9893-659b209d7a00;#64;#PT|50ccc04a-eadd-42ae-a0cb-acaf45f812ba;#152;#MK|34ce48bb-063e-4413-</vt:lpwstr>
  </property>
  <property fmtid="{D5CDD505-2E9C-101B-9397-08002B2CF9AE}" pid="31" name="VersionStatus_0">
    <vt:lpwstr>Final|ea5e6674-7b27-4bac-b091-73adbb394efe</vt:lpwstr>
  </property>
  <property fmtid="{D5CDD505-2E9C-101B-9397-08002B2CF9AE}" pid="32" name="VersionStatus">
    <vt:lpwstr>7;#Final|ea5e6674-7b27-4bac-b091-73adbb394efe</vt:lpwstr>
  </property>
  <property fmtid="{D5CDD505-2E9C-101B-9397-08002B2CF9AE}" pid="33" name="DocumentYear">
    <vt:i4>2019</vt:i4>
  </property>
  <property fmtid="{D5CDD505-2E9C-101B-9397-08002B2CF9AE}" pid="34" name="FicheNumber">
    <vt:i4>11388</vt:i4>
  </property>
  <property fmtid="{D5CDD505-2E9C-101B-9397-08002B2CF9AE}" pid="35" name="DocumentLanguage">
    <vt:lpwstr>14;#DE|f6b31e5a-26fa-4935-b661-318e46daf27e</vt:lpwstr>
  </property>
</Properties>
</file>